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BC505" w14:textId="77777777" w:rsidR="001273C4" w:rsidRPr="007214C3" w:rsidRDefault="001273C4" w:rsidP="007214C3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2C324C86" w14:textId="77777777" w:rsidR="001273C4" w:rsidRPr="007214C3" w:rsidRDefault="001273C4" w:rsidP="007214C3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20AE8640" w14:textId="77777777" w:rsidR="001273C4" w:rsidRPr="007214C3" w:rsidRDefault="001273C4" w:rsidP="007214C3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6261095C" w14:textId="77777777" w:rsidR="00844912" w:rsidRPr="007214C3" w:rsidRDefault="00844912" w:rsidP="007214C3">
      <w:pPr>
        <w:tabs>
          <w:tab w:val="center" w:pos="7699"/>
          <w:tab w:val="left" w:pos="1350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7214C3">
        <w:rPr>
          <w:rFonts w:ascii="Times New Roman" w:hAnsi="Times New Roman"/>
          <w:b/>
        </w:rPr>
        <w:tab/>
      </w:r>
      <w:r w:rsidRPr="007214C3">
        <w:rPr>
          <w:rFonts w:ascii="Times New Roman" w:hAnsi="Times New Roman"/>
          <w:b/>
        </w:rPr>
        <w:tab/>
      </w:r>
      <w:r w:rsidRPr="007214C3">
        <w:rPr>
          <w:rFonts w:ascii="Times New Roman" w:hAnsi="Times New Roman"/>
          <w:b/>
        </w:rPr>
        <w:tab/>
      </w:r>
    </w:p>
    <w:p w14:paraId="3FB0EC88" w14:textId="3C2E1F6C" w:rsidR="00844912" w:rsidRPr="007214C3" w:rsidRDefault="00844912" w:rsidP="007214C3">
      <w:pPr>
        <w:tabs>
          <w:tab w:val="center" w:pos="7699"/>
          <w:tab w:val="left" w:pos="13500"/>
        </w:tabs>
        <w:spacing w:after="0" w:line="240" w:lineRule="auto"/>
        <w:rPr>
          <w:rFonts w:ascii="Times New Roman" w:hAnsi="Times New Roman"/>
          <w:b/>
        </w:rPr>
      </w:pPr>
      <w:r w:rsidRPr="007214C3">
        <w:rPr>
          <w:rFonts w:ascii="Times New Roman" w:hAnsi="Times New Roman"/>
          <w:b/>
        </w:rPr>
        <w:tab/>
      </w:r>
      <w:r w:rsidRPr="007214C3">
        <w:rPr>
          <w:rFonts w:ascii="Times New Roman" w:hAnsi="Times New Roman"/>
          <w:b/>
        </w:rPr>
        <w:tab/>
      </w:r>
      <w:r w:rsidR="005F423A">
        <w:rPr>
          <w:rFonts w:ascii="Times New Roman" w:hAnsi="Times New Roman"/>
          <w:b/>
        </w:rPr>
        <w:t>11</w:t>
      </w:r>
      <w:r w:rsidRPr="007214C3">
        <w:rPr>
          <w:rFonts w:ascii="Times New Roman" w:hAnsi="Times New Roman"/>
          <w:b/>
        </w:rPr>
        <w:t>.</w:t>
      </w:r>
      <w:r w:rsidR="002F5749" w:rsidRPr="007214C3">
        <w:rPr>
          <w:rFonts w:ascii="Times New Roman" w:hAnsi="Times New Roman"/>
          <w:b/>
        </w:rPr>
        <w:t>0</w:t>
      </w:r>
      <w:r w:rsidR="005C20FF">
        <w:rPr>
          <w:rFonts w:ascii="Times New Roman" w:hAnsi="Times New Roman"/>
          <w:b/>
        </w:rPr>
        <w:t>9</w:t>
      </w:r>
      <w:r w:rsidRPr="007214C3">
        <w:rPr>
          <w:rFonts w:ascii="Times New Roman" w:hAnsi="Times New Roman"/>
          <w:b/>
        </w:rPr>
        <w:t>.202</w:t>
      </w:r>
      <w:r w:rsidR="002F5749" w:rsidRPr="007214C3">
        <w:rPr>
          <w:rFonts w:ascii="Times New Roman" w:hAnsi="Times New Roman"/>
          <w:b/>
        </w:rPr>
        <w:t>4</w:t>
      </w:r>
      <w:r w:rsidRPr="007214C3">
        <w:rPr>
          <w:rFonts w:ascii="Times New Roman" w:hAnsi="Times New Roman"/>
          <w:b/>
        </w:rPr>
        <w:t xml:space="preserve"> r.</w:t>
      </w:r>
    </w:p>
    <w:p w14:paraId="016EFCA5" w14:textId="77777777" w:rsidR="00844912" w:rsidRPr="000F4E41" w:rsidRDefault="00844912" w:rsidP="007214C3">
      <w:pPr>
        <w:tabs>
          <w:tab w:val="center" w:pos="7699"/>
          <w:tab w:val="left" w:pos="13500"/>
        </w:tabs>
        <w:spacing w:after="0" w:line="240" w:lineRule="auto"/>
        <w:rPr>
          <w:rFonts w:ascii="Times New Roman" w:hAnsi="Times New Roman"/>
          <w:b/>
        </w:rPr>
      </w:pPr>
    </w:p>
    <w:p w14:paraId="19DEF440" w14:textId="77777777" w:rsidR="00F55D57" w:rsidRPr="000F4E41" w:rsidRDefault="000A1CAD" w:rsidP="007214C3">
      <w:pPr>
        <w:tabs>
          <w:tab w:val="center" w:pos="7699"/>
          <w:tab w:val="left" w:pos="1350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0F4E41">
        <w:rPr>
          <w:rFonts w:ascii="Times New Roman" w:hAnsi="Times New Roman"/>
          <w:b/>
        </w:rPr>
        <w:t xml:space="preserve">ZESTAWIENIE </w:t>
      </w:r>
      <w:r w:rsidR="006F1258" w:rsidRPr="000F4E41">
        <w:rPr>
          <w:rFonts w:ascii="Times New Roman" w:hAnsi="Times New Roman"/>
          <w:b/>
        </w:rPr>
        <w:t>UWAG</w:t>
      </w:r>
      <w:r w:rsidRPr="000F4E41">
        <w:rPr>
          <w:rFonts w:ascii="Times New Roman" w:hAnsi="Times New Roman"/>
          <w:b/>
        </w:rPr>
        <w:t xml:space="preserve"> </w:t>
      </w:r>
    </w:p>
    <w:p w14:paraId="194CF878" w14:textId="7AED99C4" w:rsidR="003D7FAB" w:rsidRPr="000F4E41" w:rsidRDefault="00E1569D" w:rsidP="007214C3">
      <w:pPr>
        <w:tabs>
          <w:tab w:val="center" w:pos="7699"/>
          <w:tab w:val="left" w:pos="1350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0F4E41">
        <w:rPr>
          <w:rFonts w:ascii="Times New Roman" w:hAnsi="Times New Roman"/>
          <w:b/>
        </w:rPr>
        <w:t>ZGŁOSZONYCH W RAMACH UZGODNIEŃ MI</w:t>
      </w:r>
      <w:r w:rsidR="00166297" w:rsidRPr="000F4E41">
        <w:rPr>
          <w:rFonts w:ascii="Times New Roman" w:hAnsi="Times New Roman"/>
          <w:b/>
        </w:rPr>
        <w:t>Ę</w:t>
      </w:r>
      <w:r w:rsidRPr="000F4E41">
        <w:rPr>
          <w:rFonts w:ascii="Times New Roman" w:hAnsi="Times New Roman"/>
          <w:b/>
        </w:rPr>
        <w:t>DZYRESORTOWYCH</w:t>
      </w:r>
    </w:p>
    <w:p w14:paraId="38E4E1EF" w14:textId="77777777" w:rsidR="00804D35" w:rsidRPr="000F4E41" w:rsidRDefault="00E1569D" w:rsidP="007214C3">
      <w:pPr>
        <w:tabs>
          <w:tab w:val="center" w:pos="7699"/>
          <w:tab w:val="left" w:pos="1350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0F4E41">
        <w:rPr>
          <w:rFonts w:ascii="Times New Roman" w:hAnsi="Times New Roman"/>
          <w:b/>
        </w:rPr>
        <w:t>DO PROJEKTU USTAWY O ZMIANIE USTAWY O STATYSTYCE PUBLICZNEJ</w:t>
      </w:r>
      <w:r w:rsidR="002F5749" w:rsidRPr="000F4E41">
        <w:rPr>
          <w:rFonts w:ascii="Times New Roman" w:hAnsi="Times New Roman"/>
          <w:b/>
        </w:rPr>
        <w:t xml:space="preserve"> ORAZ NIEKTÓRYCH INNYCH USTAW</w:t>
      </w:r>
      <w:r w:rsidRPr="000F4E41">
        <w:rPr>
          <w:rFonts w:ascii="Times New Roman" w:hAnsi="Times New Roman"/>
          <w:b/>
        </w:rPr>
        <w:t xml:space="preserve"> (</w:t>
      </w:r>
      <w:r w:rsidR="002F5749" w:rsidRPr="000F4E41">
        <w:rPr>
          <w:rFonts w:ascii="Times New Roman" w:hAnsi="Times New Roman"/>
          <w:b/>
        </w:rPr>
        <w:t>UD12</w:t>
      </w:r>
      <w:r w:rsidRPr="000F4E41">
        <w:rPr>
          <w:rFonts w:ascii="Times New Roman" w:hAnsi="Times New Roman"/>
          <w:b/>
        </w:rPr>
        <w:t>)</w:t>
      </w:r>
    </w:p>
    <w:p w14:paraId="3FBC50D9" w14:textId="77777777" w:rsidR="0071437D" w:rsidRPr="000F4E41" w:rsidRDefault="0071437D" w:rsidP="007214C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6766DD9" w14:textId="77777777" w:rsidR="0071437D" w:rsidRPr="000F4E41" w:rsidRDefault="0071437D" w:rsidP="007214C3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1421"/>
        <w:gridCol w:w="2410"/>
        <w:gridCol w:w="5670"/>
        <w:gridCol w:w="5103"/>
      </w:tblGrid>
      <w:tr w:rsidR="00C050E5" w:rsidRPr="000F4E41" w14:paraId="2F4E7A3D" w14:textId="77777777" w:rsidTr="002F44B9">
        <w:tc>
          <w:tcPr>
            <w:tcW w:w="559" w:type="dxa"/>
            <w:shd w:val="clear" w:color="auto" w:fill="auto"/>
            <w:vAlign w:val="center"/>
          </w:tcPr>
          <w:p w14:paraId="7860EF93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14:paraId="39D3E120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107052E2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Organ zgłaszający uwagę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56AE0C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Przepis projektowanej ustawy</w:t>
            </w:r>
          </w:p>
        </w:tc>
        <w:tc>
          <w:tcPr>
            <w:tcW w:w="5670" w:type="dxa"/>
            <w:shd w:val="clear" w:color="auto" w:fill="auto"/>
            <w:vAlign w:val="center"/>
          </w:tcPr>
          <w:p w14:paraId="1363961A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Treść uwagi</w:t>
            </w:r>
          </w:p>
        </w:tc>
        <w:tc>
          <w:tcPr>
            <w:tcW w:w="5103" w:type="dxa"/>
            <w:vAlign w:val="center"/>
          </w:tcPr>
          <w:p w14:paraId="11C435BE" w14:textId="77777777" w:rsidR="00C050E5" w:rsidRPr="000F4E41" w:rsidRDefault="00C050E5" w:rsidP="007214C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Stanowisko GUS</w:t>
            </w:r>
            <w:r w:rsidRPr="000F4E41">
              <w:rPr>
                <w:rFonts w:ascii="Times New Roman" w:hAnsi="Times New Roman"/>
                <w:b/>
              </w:rPr>
              <w:br/>
              <w:t>wobec zgłoszonej uwagi</w:t>
            </w:r>
          </w:p>
        </w:tc>
      </w:tr>
      <w:tr w:rsidR="00E43348" w:rsidRPr="000F4E41" w14:paraId="3875786C" w14:textId="77777777" w:rsidTr="002F44B9">
        <w:trPr>
          <w:trHeight w:val="2122"/>
        </w:trPr>
        <w:tc>
          <w:tcPr>
            <w:tcW w:w="559" w:type="dxa"/>
            <w:shd w:val="clear" w:color="auto" w:fill="auto"/>
          </w:tcPr>
          <w:p w14:paraId="70B4432F" w14:textId="77777777" w:rsidR="00E43348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1.</w:t>
            </w:r>
          </w:p>
        </w:tc>
        <w:tc>
          <w:tcPr>
            <w:tcW w:w="1421" w:type="dxa"/>
            <w:shd w:val="clear" w:color="auto" w:fill="auto"/>
          </w:tcPr>
          <w:p w14:paraId="4E8257C9" w14:textId="77777777" w:rsidR="007D361C" w:rsidRPr="000F4E41" w:rsidRDefault="00E43348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  <w:p w14:paraId="796EA1A4" w14:textId="5F3D0688" w:rsidR="00E43348" w:rsidRPr="000F4E41" w:rsidRDefault="007D361C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(</w:t>
            </w:r>
            <w:r w:rsidR="00367971" w:rsidRPr="000F4E41">
              <w:rPr>
                <w:rFonts w:ascii="Times New Roman" w:hAnsi="Times New Roman"/>
              </w:rPr>
              <w:t xml:space="preserve">uwaga </w:t>
            </w:r>
            <w:r w:rsidR="00E43348" w:rsidRPr="000F4E41">
              <w:rPr>
                <w:rFonts w:ascii="Times New Roman" w:hAnsi="Times New Roman"/>
              </w:rPr>
              <w:t xml:space="preserve">zgłoszona </w:t>
            </w:r>
            <w:r w:rsidR="00E43348" w:rsidRPr="000F4E41">
              <w:rPr>
                <w:rFonts w:ascii="Times New Roman" w:hAnsi="Times New Roman"/>
              </w:rPr>
              <w:br/>
              <w:t>w trybie roboczym)</w:t>
            </w:r>
          </w:p>
        </w:tc>
        <w:tc>
          <w:tcPr>
            <w:tcW w:w="2410" w:type="dxa"/>
            <w:shd w:val="clear" w:color="auto" w:fill="auto"/>
          </w:tcPr>
          <w:p w14:paraId="243C18CD" w14:textId="77777777" w:rsidR="00E43348" w:rsidRPr="000F4E41" w:rsidRDefault="00E43348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 projektu</w:t>
            </w:r>
          </w:p>
          <w:p w14:paraId="30902CA4" w14:textId="77777777" w:rsidR="00E43348" w:rsidRPr="000F4E41" w:rsidRDefault="00E43348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1 pkt 3 ustawy o statystyce publicznej)</w:t>
            </w:r>
          </w:p>
          <w:p w14:paraId="260D63F3" w14:textId="77777777" w:rsidR="00E43348" w:rsidRPr="000F4E41" w:rsidRDefault="00E43348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6AC028FB" w14:textId="77777777" w:rsidR="00E43348" w:rsidRPr="000F4E41" w:rsidRDefault="00E43348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>Rejestry wskazane w projekcie, w art. 1 pkt 3 ustawy, winny być już na tym etapie określone jako odpowiednio: rejestr REGON i rejestr TERYT. W kontekście definicji wprowadzanej w art. 2 pkt 12a i 12b (art. 1 pkt 2 lit b projektu), posługiwanie się terminami „rejestr REGON” i „rejestr TERYT” winno być konsekwentne i wywodzić się już z treści art. 1 pkt 3 projektu ustawy o statystyce publicznej w proponowanym brzmieniu.</w:t>
            </w:r>
          </w:p>
        </w:tc>
        <w:tc>
          <w:tcPr>
            <w:tcW w:w="5103" w:type="dxa"/>
          </w:tcPr>
          <w:p w14:paraId="68F11EDD" w14:textId="77777777" w:rsidR="008D5FCD" w:rsidRPr="000F4E41" w:rsidRDefault="008D5FC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nieuwzględniona </w:t>
            </w:r>
          </w:p>
          <w:p w14:paraId="053A03E4" w14:textId="77777777" w:rsidR="00A101EA" w:rsidRPr="000F4E41" w:rsidRDefault="00A101EA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DB4021E" w14:textId="77777777" w:rsidR="00A101EA" w:rsidRPr="000F4E41" w:rsidRDefault="00A101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Przepis art. 1 ustawy o statystyce publicznej ma na celu ustalenie zakresu przedmiotowego tej ustawy.</w:t>
            </w:r>
          </w:p>
          <w:p w14:paraId="1DC20CE5" w14:textId="77777777" w:rsidR="00A101EA" w:rsidRPr="000F4E41" w:rsidRDefault="00A101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Definicje pojęć stosowanych w ustawie o statystyce publicznej są zawarte w art. 2 tej ustawy.</w:t>
            </w:r>
          </w:p>
        </w:tc>
      </w:tr>
      <w:tr w:rsidR="00A876EB" w:rsidRPr="000F4E41" w14:paraId="7E3EBC08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D9988CD" w14:textId="77777777" w:rsidR="00A876EB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2.</w:t>
            </w:r>
          </w:p>
        </w:tc>
        <w:tc>
          <w:tcPr>
            <w:tcW w:w="1421" w:type="dxa"/>
            <w:shd w:val="clear" w:color="auto" w:fill="auto"/>
          </w:tcPr>
          <w:p w14:paraId="5621D17A" w14:textId="77777777" w:rsidR="00A876EB" w:rsidRPr="000F4E41" w:rsidRDefault="00A876E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</w:tc>
        <w:tc>
          <w:tcPr>
            <w:tcW w:w="2410" w:type="dxa"/>
            <w:shd w:val="clear" w:color="auto" w:fill="auto"/>
          </w:tcPr>
          <w:p w14:paraId="6A6E0737" w14:textId="77777777" w:rsidR="00A876EB" w:rsidRPr="000F4E41" w:rsidRDefault="00A876EB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2 projektu</w:t>
            </w:r>
          </w:p>
          <w:p w14:paraId="1A17B747" w14:textId="77777777" w:rsidR="00A876EB" w:rsidRPr="000F4E41" w:rsidRDefault="00A876EB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2 pkt 11b ustawy o statystyce publicznej)</w:t>
            </w:r>
          </w:p>
        </w:tc>
        <w:tc>
          <w:tcPr>
            <w:tcW w:w="5670" w:type="dxa"/>
            <w:shd w:val="clear" w:color="auto" w:fill="auto"/>
          </w:tcPr>
          <w:p w14:paraId="1ADEE0A8" w14:textId="77777777" w:rsidR="00A876EB" w:rsidRPr="000F4E41" w:rsidRDefault="00A876EB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związku ze zmianą definicji „osoby fizycznej prowadzącej działalność gospodarczą”, zawartej w projektowanym art. 2 pkt 11b ustawy o statystyce publicznej (art. 1 pkt 2 lit. a projektu), wydaje się zasadne rozważenie, </w:t>
            </w:r>
            <w:r w:rsidRPr="000F4E41">
              <w:rPr>
                <w:rFonts w:ascii="Times New Roman" w:eastAsiaTheme="minorHAnsi" w:hAnsi="Times New Roman"/>
                <w:b/>
              </w:rPr>
              <w:t>czy ujęcie w tej definicji osób fizycznych</w:t>
            </w:r>
          </w:p>
          <w:p w14:paraId="735D59E8" w14:textId="77777777" w:rsidR="00A876EB" w:rsidRPr="000F4E41" w:rsidRDefault="00A876EB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b/>
              </w:rPr>
              <w:t>prowadzących indywidualne gospodarstwo rolne, bez żadnych ograniczeń (tak jak np. w przypadku innych osób fizycznych prowadzących działalność na własny rachunek) jest prawidłowe.</w:t>
            </w:r>
            <w:r w:rsidRPr="000F4E41">
              <w:rPr>
                <w:rFonts w:ascii="Times New Roman" w:eastAsiaTheme="minorHAnsi" w:hAnsi="Times New Roman"/>
              </w:rPr>
              <w:t xml:space="preserve"> Należy bowiem zauważyć, że osoba fizyczna może prowadzić gospodarstwo rolne w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yłącznie </w:t>
            </w:r>
            <w:r w:rsidRPr="000F4E41">
              <w:rPr>
                <w:rFonts w:ascii="Times New Roman" w:eastAsiaTheme="minorHAnsi" w:hAnsi="Times New Roman"/>
                <w:b/>
                <w:u w:val="single"/>
              </w:rPr>
              <w:t>w celu samozaopatrzenia</w:t>
            </w:r>
            <w:r w:rsidRPr="000F4E41">
              <w:rPr>
                <w:rFonts w:ascii="Times New Roman" w:eastAsiaTheme="minorHAnsi" w:hAnsi="Times New Roman"/>
                <w:b/>
              </w:rPr>
              <w:t>, tj. na własne potrzeby, wobec czego nie można jej przypisać statusu</w:t>
            </w:r>
            <w:r w:rsidR="00BE5AA2" w:rsidRPr="000F4E41">
              <w:rPr>
                <w:rFonts w:ascii="Times New Roman" w:eastAsiaTheme="minorHAnsi" w:hAnsi="Times New Roman"/>
                <w:b/>
              </w:rPr>
              <w:t xml:space="preserve"> p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rzedsiębiorcy </w:t>
            </w:r>
            <w:r w:rsidRPr="000F4E41">
              <w:rPr>
                <w:rFonts w:ascii="Times New Roman" w:eastAsiaTheme="minorHAnsi" w:hAnsi="Times New Roman"/>
              </w:rPr>
              <w:t xml:space="preserve">(por. wyrok SN z 17 lutego 2021 roku, sygn. akt I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NSNc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 152/20). Zdaniem Sądu Najwyższego rolnik uczestniczy w obrocie gospodarczym, jeżeli prowadzi swą działalność w sposób zorganizowany, zawodowy i stały, w celu osiągnięcia zysków (por. wyrok SN z 17 lutego 2021 </w:t>
            </w:r>
            <w:r w:rsidRPr="000F4E41">
              <w:rPr>
                <w:rFonts w:ascii="Times New Roman" w:eastAsiaTheme="minorHAnsi" w:hAnsi="Times New Roman"/>
              </w:rPr>
              <w:lastRenderedPageBreak/>
              <w:t xml:space="preserve">roku, sygn. akt I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NSNc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 152/20). Oznacza to, że osoba fizyczna prowadząca indywidualne gospodarstwo rolne może być uznana za przedsiębiorcę, jeżeli spełnia przesłanki określone w art. 431 KC (por. m.in. wyr. SN z 3.10.2014 r., V CSK 630/13, OSNC 2015, Nr 7–8,96; wyr. SA w Warszawie z 21.5.2013 r., VI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ACa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 1472/12,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Legalis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). W uchwale z 26 lutego 2015 r., III CZP 108/14 Sąd Najwyższy stwierdził, że: „Przesłanki działalności  zostały już w judykaturze i piśmiennictwie jednoznacznie określone; przyjmuje się, że charakteryzuje ją cel zawodowy i zarobkowy, działanie we własnym imieniu, ciągłość tego działania oraz uczestnictwo w obrocie gospodarczym (...). Cechy tej działalności może mieć oczywiście także działalność w dziedzinie rolnictwa i jeżeli je spełnia, jest działalnością gospodarczą (…)”. Niewątpliwie jednak statusu przedsiębiorcy nie można byłoby przypisać w sytuacji, gdy rolnik prowadzi gospodarstwo rolne wyłącznie na zaspokojenie własnych potrzeb (por. wyrok SN z 17 lutego 2021 roku, sygn. akt I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NSNc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 152/20).</w:t>
            </w:r>
          </w:p>
          <w:p w14:paraId="5F4F010E" w14:textId="77777777" w:rsidR="00A876EB" w:rsidRPr="000F4E41" w:rsidRDefault="00A876EB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świetle powyższego </w:t>
            </w:r>
            <w:r w:rsidRPr="000F4E41">
              <w:rPr>
                <w:rFonts w:ascii="Times New Roman" w:eastAsiaTheme="minorHAnsi" w:hAnsi="Times New Roman"/>
                <w:b/>
              </w:rPr>
              <w:t>wydaje się uzasadnione, również w odniesieniu do osób prowadzących indywidualne gospodarstwo rolne, zastosowanie wyłączenia w postaci: „z wyjątkiem prowadzenia gospodarstwa rolnego wyłącznie na zaspokojenie własnych potrzeb</w:t>
            </w:r>
            <w:r w:rsidRPr="000F4E41">
              <w:rPr>
                <w:rFonts w:ascii="Times New Roman" w:eastAsiaTheme="minorHAnsi" w:hAnsi="Times New Roman"/>
              </w:rPr>
              <w:t>”.</w:t>
            </w:r>
          </w:p>
          <w:p w14:paraId="74E865F3" w14:textId="77777777" w:rsidR="00A876EB" w:rsidRPr="000F4E41" w:rsidRDefault="00A876EB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Proponowane brzmienie przepisu:</w:t>
            </w:r>
          </w:p>
          <w:p w14:paraId="129C22C0" w14:textId="77777777" w:rsidR="00A876EB" w:rsidRPr="000F4E41" w:rsidRDefault="00A876EB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  <w:i/>
                <w:iCs/>
              </w:rPr>
              <w:t>„11b) osoba fizyczna prowadząca działalność gospodarczą – osobę fizyczną będącą przedsiębiorcą w rozumieniu ustawy z dnia 6 marca 2018 r. – Prawo przedsiębiorców (Dz. U. z 2023 r. 221, 641, 803 i 2029), osobę fizyczną prowadzącą indywidualne gospodarstwo rolne lub inną osobę fizyczną prowadzącą działalność na własny rachunek,</w:t>
            </w:r>
            <w:r w:rsidR="00BE5AA2"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z wyjątkiem prowadzenia indywidualnego gospodarstwa rolnego lub działalności polegającej na produkcji wyrobów lub świadczeniu usług na własne potrzeby;”</w:t>
            </w:r>
          </w:p>
          <w:p w14:paraId="0AEDE2D0" w14:textId="77777777" w:rsidR="00BE5AA2" w:rsidRPr="000F4E41" w:rsidRDefault="00A876EB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lub</w:t>
            </w:r>
          </w:p>
          <w:p w14:paraId="63230ED7" w14:textId="77777777" w:rsidR="00A876EB" w:rsidRPr="000F4E41" w:rsidRDefault="00A876EB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„11b) osoba fizyczna prowadząca działalność gospodarczą – osobę fizyczną będącą przedsiębiorcą w rozumieniu ustawy z dnia 6 marca 2018 r. – Prawo przedsiębiorców (Dz. 2023 r. 221, 641, 803 i 2029), osobę fizyczną prowadzącą indywidualne gospodarstwo rolne lub inną osobę fizyczną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lastRenderedPageBreak/>
              <w:t>prowadzącą działalność na własny rachunek,</w:t>
            </w:r>
            <w:r w:rsidR="00BE5AA2"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z wyjątkiem produkcji rolnej lub działalności polegającej na produkcji wyrobów lub świadczeniu usług na własne potrzeby;”.</w:t>
            </w:r>
          </w:p>
        </w:tc>
        <w:tc>
          <w:tcPr>
            <w:tcW w:w="5103" w:type="dxa"/>
          </w:tcPr>
          <w:p w14:paraId="58A6D5E8" w14:textId="10CD9287" w:rsidR="00DA4A3A" w:rsidRPr="000F4E41" w:rsidRDefault="00CD76D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440F5374" w14:textId="77777777" w:rsidR="00D06DCC" w:rsidRPr="000F4E41" w:rsidRDefault="00D06DCC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0B9ECE4" w14:textId="08F64147" w:rsidR="00CD76DD" w:rsidRPr="000F4E41" w:rsidRDefault="000C121B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Ustalono</w:t>
            </w:r>
            <w:r w:rsidR="00CD76DD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następujące </w:t>
            </w:r>
            <w:r w:rsidR="00884569" w:rsidRPr="000F4E41">
              <w:rPr>
                <w:rFonts w:ascii="Times New Roman" w:hAnsi="Times New Roman"/>
              </w:rPr>
              <w:t>nowe brzmienie art. 2</w:t>
            </w:r>
            <w:r w:rsidR="006F5DC9" w:rsidRPr="000F4E41">
              <w:rPr>
                <w:rFonts w:ascii="Times New Roman" w:hAnsi="Times New Roman"/>
              </w:rPr>
              <w:t xml:space="preserve"> </w:t>
            </w:r>
            <w:r w:rsidR="00D06DCC" w:rsidRPr="000F4E41">
              <w:rPr>
                <w:rFonts w:ascii="Times New Roman" w:hAnsi="Times New Roman"/>
              </w:rPr>
              <w:t>pkt 11b</w:t>
            </w:r>
            <w:r w:rsidRPr="000F4E41">
              <w:rPr>
                <w:rFonts w:ascii="Times New Roman" w:hAnsi="Times New Roman"/>
              </w:rPr>
              <w:t xml:space="preserve"> ustawy o statystyce publicznej:</w:t>
            </w:r>
          </w:p>
          <w:p w14:paraId="48421195" w14:textId="44F195E4" w:rsidR="00CD76DD" w:rsidRPr="000F4E41" w:rsidRDefault="000C121B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„</w:t>
            </w:r>
            <w:r w:rsidR="00CD76DD" w:rsidRPr="000F4E41">
              <w:rPr>
                <w:rFonts w:ascii="Times New Roman" w:hAnsi="Times New Roman"/>
                <w:i/>
              </w:rPr>
              <w:t>11b) osoba fizyczna prowadząca działalność gospodarczą – osobę fizyczną będącą przedsiębiorcą w rozumieniu ustawy z dnia 6 marca 2018 r. – Prawo przedsiębiorców (Dz. U. z 202</w:t>
            </w:r>
            <w:r w:rsidR="00EB193F" w:rsidRPr="000F4E41">
              <w:rPr>
                <w:rFonts w:ascii="Times New Roman" w:hAnsi="Times New Roman"/>
                <w:i/>
              </w:rPr>
              <w:t>4</w:t>
            </w:r>
            <w:r w:rsidR="00CD76DD" w:rsidRPr="000F4E41">
              <w:rPr>
                <w:rFonts w:ascii="Times New Roman" w:hAnsi="Times New Roman"/>
                <w:i/>
              </w:rPr>
              <w:t xml:space="preserve"> r. </w:t>
            </w:r>
            <w:r w:rsidR="00EB193F" w:rsidRPr="000F4E41">
              <w:rPr>
                <w:rFonts w:ascii="Times New Roman" w:hAnsi="Times New Roman"/>
                <w:i/>
              </w:rPr>
              <w:t>poz. 236</w:t>
            </w:r>
            <w:r w:rsidR="00CD76DD" w:rsidRPr="000F4E41">
              <w:rPr>
                <w:rFonts w:ascii="Times New Roman" w:hAnsi="Times New Roman"/>
                <w:i/>
              </w:rPr>
              <w:t>), osobę fizyczną prowadzącą indywidualne gospodarstwo rolne lub inną osobę fizyczną prowadzącą działalność na własny rachunek, z wyjątkiem prowadzenia indywidualnego gospodarstwa rolnego lub działalności polegającej na produkcji wyrobów lub świadczeniu usług na własne potrzeby;</w:t>
            </w:r>
            <w:r w:rsidRPr="000F4E41">
              <w:rPr>
                <w:rFonts w:ascii="Times New Roman" w:hAnsi="Times New Roman"/>
                <w:i/>
              </w:rPr>
              <w:t>”.</w:t>
            </w:r>
          </w:p>
          <w:p w14:paraId="27536503" w14:textId="77777777" w:rsidR="00CD76DD" w:rsidRPr="000F4E41" w:rsidRDefault="00CD76D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53D0AE2" w14:textId="77777777" w:rsidR="001F7F8C" w:rsidRPr="000F4E41" w:rsidRDefault="001F7F8C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8CD04F7" w14:textId="345C0821" w:rsidR="00466BD4" w:rsidRPr="000F4E41" w:rsidRDefault="00D06DCC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 xml:space="preserve">Jednocześnie </w:t>
            </w:r>
            <w:r w:rsidR="00AE12B5" w:rsidRPr="000F4E41">
              <w:rPr>
                <w:rFonts w:ascii="Times New Roman" w:hAnsi="Times New Roman"/>
              </w:rPr>
              <w:t xml:space="preserve">zostanie dodany przepis przejściowy art. </w:t>
            </w:r>
            <w:r w:rsidR="002B2608" w:rsidRPr="000F4E41">
              <w:rPr>
                <w:rFonts w:ascii="Times New Roman" w:hAnsi="Times New Roman"/>
              </w:rPr>
              <w:t>2</w:t>
            </w:r>
            <w:r w:rsidR="00D72ECE" w:rsidRPr="000F4E41">
              <w:rPr>
                <w:rFonts w:ascii="Times New Roman" w:hAnsi="Times New Roman"/>
              </w:rPr>
              <w:t>0</w:t>
            </w:r>
            <w:r w:rsidR="0035721F" w:rsidRPr="000F4E41">
              <w:rPr>
                <w:rFonts w:ascii="Times New Roman" w:hAnsi="Times New Roman"/>
              </w:rPr>
              <w:t xml:space="preserve"> </w:t>
            </w:r>
            <w:r w:rsidR="008A2DC6" w:rsidRPr="000F4E41">
              <w:rPr>
                <w:rFonts w:ascii="Times New Roman" w:hAnsi="Times New Roman"/>
              </w:rPr>
              <w:t xml:space="preserve">(według nowej numeracji) </w:t>
            </w:r>
            <w:r w:rsidR="00AE12B5" w:rsidRPr="000F4E41">
              <w:rPr>
                <w:rFonts w:ascii="Times New Roman" w:hAnsi="Times New Roman"/>
              </w:rPr>
              <w:t>w brzmieniu:</w:t>
            </w:r>
          </w:p>
          <w:p w14:paraId="111555D8" w14:textId="774E3FEA" w:rsidR="00AE12B5" w:rsidRPr="000F4E41" w:rsidRDefault="00AE12B5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 xml:space="preserve">„Art. </w:t>
            </w:r>
            <w:r w:rsidR="002B2608" w:rsidRPr="000F4E41">
              <w:rPr>
                <w:rFonts w:ascii="Times New Roman" w:hAnsi="Times New Roman"/>
                <w:i/>
              </w:rPr>
              <w:t>2</w:t>
            </w:r>
            <w:r w:rsidR="00D72ECE" w:rsidRPr="000F4E41">
              <w:rPr>
                <w:rFonts w:ascii="Times New Roman" w:hAnsi="Times New Roman"/>
                <w:i/>
              </w:rPr>
              <w:t>0</w:t>
            </w:r>
            <w:r w:rsidRPr="000F4E41">
              <w:rPr>
                <w:rFonts w:ascii="Times New Roman" w:hAnsi="Times New Roman"/>
                <w:i/>
              </w:rPr>
              <w:t xml:space="preserve">. Podmioty wpisane do rejestru REGON, </w:t>
            </w:r>
            <w:r w:rsidR="0035721F" w:rsidRPr="000F4E41">
              <w:rPr>
                <w:rFonts w:ascii="Times New Roman" w:hAnsi="Times New Roman"/>
                <w:i/>
              </w:rPr>
              <w:t xml:space="preserve">które </w:t>
            </w:r>
            <w:r w:rsidR="00147DD4">
              <w:rPr>
                <w:rFonts w:ascii="Times New Roman" w:hAnsi="Times New Roman"/>
                <w:i/>
              </w:rPr>
              <w:t xml:space="preserve">do dnia wejścia w życie niniejszej ustawy </w:t>
            </w:r>
            <w:r w:rsidR="0035721F" w:rsidRPr="000F4E41">
              <w:rPr>
                <w:rFonts w:ascii="Times New Roman" w:hAnsi="Times New Roman"/>
                <w:i/>
              </w:rPr>
              <w:t>spełniały definicję osoby fizycznej prowadzącej działalność gospodarczą, o której mowa w art. 2 pkt 11b ustawy</w:t>
            </w:r>
            <w:r w:rsidR="000C121B" w:rsidRPr="000F4E41">
              <w:rPr>
                <w:rFonts w:ascii="Times New Roman" w:hAnsi="Times New Roman"/>
                <w:i/>
              </w:rPr>
              <w:t xml:space="preserve"> zmienianej w art. 1</w:t>
            </w:r>
            <w:r w:rsidR="0035721F" w:rsidRPr="000F4E41">
              <w:rPr>
                <w:rFonts w:ascii="Times New Roman" w:hAnsi="Times New Roman"/>
                <w:i/>
              </w:rPr>
              <w:t xml:space="preserve">, w znaczeniu przyjętym w dotychczasowych przepisach, </w:t>
            </w:r>
            <w:r w:rsidR="009815AD" w:rsidRPr="000F4E41">
              <w:rPr>
                <w:rFonts w:ascii="Times New Roman" w:hAnsi="Times New Roman"/>
                <w:i/>
              </w:rPr>
              <w:t xml:space="preserve">a </w:t>
            </w:r>
            <w:r w:rsidR="0035721F" w:rsidRPr="000F4E41">
              <w:rPr>
                <w:rFonts w:ascii="Times New Roman" w:hAnsi="Times New Roman"/>
                <w:i/>
              </w:rPr>
              <w:t xml:space="preserve">które </w:t>
            </w:r>
            <w:r w:rsidRPr="000F4E41">
              <w:rPr>
                <w:rFonts w:ascii="Times New Roman" w:hAnsi="Times New Roman"/>
                <w:i/>
              </w:rPr>
              <w:t xml:space="preserve">nie spełniają </w:t>
            </w:r>
            <w:r w:rsidR="009815AD" w:rsidRPr="000F4E41">
              <w:rPr>
                <w:rFonts w:ascii="Times New Roman" w:hAnsi="Times New Roman"/>
                <w:i/>
              </w:rPr>
              <w:t xml:space="preserve">tej </w:t>
            </w:r>
            <w:r w:rsidRPr="000F4E41">
              <w:rPr>
                <w:rFonts w:ascii="Times New Roman" w:hAnsi="Times New Roman"/>
                <w:i/>
              </w:rPr>
              <w:t>definicji</w:t>
            </w:r>
            <w:r w:rsidR="009815AD" w:rsidRPr="000F4E41">
              <w:rPr>
                <w:rFonts w:ascii="Times New Roman" w:hAnsi="Times New Roman"/>
                <w:i/>
              </w:rPr>
              <w:t>, w znaczeniu przyjętym w niniejszej ustawie, zobowiązane są zgłosić wniosek o wykreślenie z rejestru REGON, w terminie 2 lat od dnia wejścia w życie niniejszej ustawy.”.</w:t>
            </w:r>
          </w:p>
          <w:p w14:paraId="15086606" w14:textId="282D37D6" w:rsidR="003E1650" w:rsidRPr="000F4E41" w:rsidRDefault="003E1650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20EA3" w:rsidRPr="000F4E41" w14:paraId="2B2D9E67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47C08687" w14:textId="77777777" w:rsidR="00C20EA3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3</w:t>
            </w:r>
            <w:r w:rsidR="00F55D57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FF5BA31" w14:textId="77777777" w:rsidR="00C20EA3" w:rsidRPr="000F4E41" w:rsidRDefault="00C20EA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50F4B8C6" w14:textId="77777777" w:rsidR="00C20EA3" w:rsidRPr="000F4E41" w:rsidRDefault="00C20EA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7 projektu</w:t>
            </w:r>
          </w:p>
          <w:p w14:paraId="57616F00" w14:textId="77777777" w:rsidR="00C20EA3" w:rsidRPr="000F4E41" w:rsidRDefault="00C20EA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40 ustawy o statystyce publicznej)</w:t>
            </w:r>
          </w:p>
          <w:p w14:paraId="4FEC427E" w14:textId="77777777" w:rsidR="00C20EA3" w:rsidRPr="000F4E41" w:rsidRDefault="00C20EA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35BFC067" w14:textId="77777777" w:rsidR="00C20EA3" w:rsidRPr="000F4E41" w:rsidRDefault="00C20EA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Przywołany w ww. propozycji (nieokreślony) termin wydania przez autora przepisów komunikatu, jak również sama data wejścia w życie przepisów są problematyczne w kontekście wdrożenia zmian w systemach teleinformatycznych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MRiT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>. Z uwagi na to, że matryca zmian w kodach PKD jest kluczowa dla wprowadzenia przedmiotowych modyfikacji to powinna ona być dostępna min. 6 miesięcy przed wdrożeniem nowych kodów PKD. Należałoby również rozważyć czy ogłoszenie tych zmian nie powinno zostać ujęte w drodze rozporządzenia.</w:t>
            </w:r>
          </w:p>
        </w:tc>
        <w:tc>
          <w:tcPr>
            <w:tcW w:w="5103" w:type="dxa"/>
          </w:tcPr>
          <w:p w14:paraId="6CD5DC70" w14:textId="0215E912" w:rsidR="00C20EA3" w:rsidRPr="000F4E41" w:rsidRDefault="00F16AE1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1D9B1236" w14:textId="77777777" w:rsidR="00326518" w:rsidRPr="000F4E41" w:rsidRDefault="00326518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8450716" w14:textId="767C2081" w:rsidR="00F16AE1" w:rsidRPr="000F4E41" w:rsidRDefault="00147DD4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AF52FC">
              <w:rPr>
                <w:rFonts w:ascii="Times New Roman" w:hAnsi="Times New Roman"/>
              </w:rPr>
              <w:t xml:space="preserve">Wzajemne relacje (wieloznaczne i jednoznaczne) </w:t>
            </w:r>
            <w:r>
              <w:rPr>
                <w:rFonts w:ascii="Times New Roman" w:hAnsi="Times New Roman"/>
              </w:rPr>
              <w:t xml:space="preserve">pomiędzy obowiązującą a wprowadzaną lub zmienianą klasyfikacją </w:t>
            </w:r>
            <w:r w:rsidRPr="00AF52FC">
              <w:rPr>
                <w:rFonts w:ascii="Times New Roman" w:hAnsi="Times New Roman"/>
              </w:rPr>
              <w:t xml:space="preserve">wraz ze szczegółowymi interpretacjami wzajemnych relacji wieloznacznych </w:t>
            </w:r>
            <w:r w:rsidR="009815AD" w:rsidRPr="000F4E41">
              <w:rPr>
                <w:rFonts w:ascii="Times New Roman" w:hAnsi="Times New Roman"/>
              </w:rPr>
              <w:t>będą częścią</w:t>
            </w:r>
            <w:r w:rsidR="00F16AE1" w:rsidRPr="000F4E41">
              <w:rPr>
                <w:rFonts w:ascii="Times New Roman" w:hAnsi="Times New Roman"/>
              </w:rPr>
              <w:t xml:space="preserve"> </w:t>
            </w:r>
            <w:r w:rsidR="009815AD" w:rsidRPr="000F4E41">
              <w:rPr>
                <w:rFonts w:ascii="Times New Roman" w:hAnsi="Times New Roman"/>
              </w:rPr>
              <w:t>r</w:t>
            </w:r>
            <w:r w:rsidR="00F16AE1" w:rsidRPr="000F4E41">
              <w:rPr>
                <w:rFonts w:ascii="Times New Roman" w:hAnsi="Times New Roman"/>
              </w:rPr>
              <w:t xml:space="preserve">ozporządzenia Rady Ministrów, które zostanie </w:t>
            </w:r>
            <w:r w:rsidR="009815AD" w:rsidRPr="000F4E41">
              <w:rPr>
                <w:rFonts w:ascii="Times New Roman" w:hAnsi="Times New Roman"/>
              </w:rPr>
              <w:t xml:space="preserve">wydane na podstawie art. 40 ust. 2 </w:t>
            </w:r>
            <w:r>
              <w:rPr>
                <w:rFonts w:ascii="Times New Roman" w:hAnsi="Times New Roman"/>
              </w:rPr>
              <w:t xml:space="preserve">i 3 </w:t>
            </w:r>
            <w:r w:rsidR="009815AD" w:rsidRPr="000F4E41">
              <w:rPr>
                <w:rFonts w:ascii="Times New Roman" w:hAnsi="Times New Roman"/>
              </w:rPr>
              <w:t>ustawy o statystyce publicznej</w:t>
            </w:r>
            <w:r w:rsidR="00A859D2" w:rsidRPr="000F4E41">
              <w:rPr>
                <w:rFonts w:ascii="Times New Roman" w:hAnsi="Times New Roman"/>
              </w:rPr>
              <w:t xml:space="preserve"> (w brzmieniu nadanym projektowaną ustawą).</w:t>
            </w:r>
          </w:p>
        </w:tc>
      </w:tr>
      <w:tr w:rsidR="00C20EA3" w:rsidRPr="000F4E41" w14:paraId="31AE867C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10228CDE" w14:textId="77777777" w:rsidR="00C20EA3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4</w:t>
            </w:r>
            <w:r w:rsidR="00F55D57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1882E403" w14:textId="77777777" w:rsidR="00C20EA3" w:rsidRPr="000F4E41" w:rsidRDefault="00C20EA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707205E1" w14:textId="77777777" w:rsidR="00C20EA3" w:rsidRPr="000F4E41" w:rsidRDefault="00C20EA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7 projektu</w:t>
            </w:r>
          </w:p>
          <w:p w14:paraId="61586AD1" w14:textId="77777777" w:rsidR="00C20EA3" w:rsidRPr="000F4E41" w:rsidRDefault="00C20EA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40 ust. 2a i 2b ustawy o statystyce publicznej)</w:t>
            </w:r>
          </w:p>
          <w:p w14:paraId="1806CB4A" w14:textId="77777777" w:rsidR="00C20EA3" w:rsidRPr="000F4E41" w:rsidRDefault="00C20EA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57B196EB" w14:textId="77777777" w:rsidR="00C20EA3" w:rsidRPr="000F4E41" w:rsidRDefault="00C20EA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Nadal zastrzeżenia budzi sposób uzupełnienia w dodawanych przepisach art. 40 ust. 2a i 2b ustawy z dnia 29 czerwca 1995 r. o statystyce publicznej (dalej „ustawa”) zakresu spraw przekazanych do uregulowania w przepisach wykonawczych wydanych na podstawie art. 40 ust. 2 ustawy o określenie –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w przypadku Polskiej Klasyfikacji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Działalności </w:t>
            </w:r>
            <w:r w:rsidRPr="000F4E41">
              <w:rPr>
                <w:rFonts w:ascii="Times New Roman" w:eastAsiaTheme="minorHAnsi" w:hAnsi="Times New Roman"/>
              </w:rPr>
              <w:t xml:space="preserve">(dalej „PKD”), a także wytycznych do wydania tych przepisów wykonawczych. Jak już wcześniej sygnalizowano, </w:t>
            </w:r>
            <w:r w:rsidRPr="000F4E41">
              <w:rPr>
                <w:rFonts w:ascii="Times New Roman" w:eastAsiaTheme="minorHAnsi" w:hAnsi="Times New Roman"/>
                <w:b/>
              </w:rPr>
              <w:t>PKD nie jest klasyfikacją regulowaną ustawą, lecz jedną z klasyfikacji określonych w art. 40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b/>
              </w:rPr>
              <w:t>ustawy zbiorczym określeniem „standardowe klasyfikacje”,</w:t>
            </w:r>
            <w:r w:rsidRPr="000F4E41">
              <w:rPr>
                <w:rFonts w:ascii="Times New Roman" w:eastAsiaTheme="minorHAnsi" w:hAnsi="Times New Roman"/>
              </w:rPr>
              <w:t xml:space="preserve"> której wprowadzenie (dla określonego przedmiotu i pod określoną nazwą) następuje na poziomie rozporządzenia wydawanego na podstawie art. 40 ust. 2 ustawy. Nie można zatem odnosić się do „przypadku Polskiej Klasyfikacji Działalności”, gdyż istnienia takiego przypadku materialny przepis ustawy nie reguluje.</w:t>
            </w:r>
          </w:p>
          <w:p w14:paraId="52F7A8AF" w14:textId="77777777" w:rsidR="00C20EA3" w:rsidRPr="000F4E41" w:rsidRDefault="00C20EA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Jeżeli istnieje jednak konieczność wprowadzenia szczególnej regulacji w zakresie PKD w stosunku do innych standardowych klasyfikacji i nomenklatur, to należałoby zawrzeć w ustawie odrębną, kompleksową regulację dotyczącą PKD. Mając na uwadze brzmienie art. 40 ust. 1 ustawy, który stanowi, że to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Prezes Głównego Urzędu Statystycznego, w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porozumieniu z właściwymi naczelnymi organami administracji państwowej, opracowuje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podstawowe do określenia przebiegu i opisu procesów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lastRenderedPageBreak/>
              <w:t>gospodarczych i społecznych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standardowe klasyfikacje i nomenklatury, wzajemne relacje między nimi oraz ich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interpretacje, </w:t>
            </w:r>
            <w:r w:rsidRPr="000F4E41">
              <w:rPr>
                <w:rFonts w:ascii="Times New Roman" w:eastAsiaTheme="minorHAnsi" w:hAnsi="Times New Roman"/>
              </w:rPr>
              <w:t>regulacje te powinny być systemowo spójne i szczegółowo uzasadnione.</w:t>
            </w:r>
          </w:p>
        </w:tc>
        <w:tc>
          <w:tcPr>
            <w:tcW w:w="5103" w:type="dxa"/>
          </w:tcPr>
          <w:p w14:paraId="04996652" w14:textId="79363AB3" w:rsidR="009815AD" w:rsidRPr="000F4E41" w:rsidRDefault="009815A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466093E1" w14:textId="1F92EFA2" w:rsidR="00326518" w:rsidRPr="000F4E41" w:rsidRDefault="00326518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C9B3C28" w14:textId="49BF3E84" w:rsidR="00AA458A" w:rsidRPr="000F4E41" w:rsidRDefault="00E62427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Ustalono następujące nowe brzmienie </w:t>
            </w:r>
            <w:r w:rsidR="00120361" w:rsidRPr="000F4E41">
              <w:rPr>
                <w:rFonts w:ascii="Times New Roman" w:hAnsi="Times New Roman"/>
              </w:rPr>
              <w:t>art. 2 pkt 14 i</w:t>
            </w:r>
            <w:r w:rsidR="00A859D2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art. 40 ustawy o statystyce publicznej</w:t>
            </w:r>
            <w:r w:rsidR="00A859D2" w:rsidRPr="000F4E41">
              <w:rPr>
                <w:rFonts w:ascii="Times New Roman" w:hAnsi="Times New Roman"/>
              </w:rPr>
              <w:t>.</w:t>
            </w:r>
          </w:p>
          <w:p w14:paraId="70CEDAE7" w14:textId="77777777" w:rsidR="003E1650" w:rsidRPr="000F4E41" w:rsidRDefault="003E1650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44427C" w14:textId="77777777" w:rsidR="00380731" w:rsidRPr="000F4E41" w:rsidRDefault="00380731" w:rsidP="007214C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F4E41">
              <w:rPr>
                <w:rFonts w:ascii="Times New Roman" w:hAnsi="Times New Roman"/>
                <w:bCs/>
              </w:rPr>
              <w:t>W art. 2 pkt 14 otrzymuje brzmienie:</w:t>
            </w:r>
          </w:p>
          <w:p w14:paraId="0CB74DFD" w14:textId="77777777" w:rsidR="00380731" w:rsidRPr="000F4E41" w:rsidRDefault="00380731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bCs/>
                <w:i/>
              </w:rPr>
              <w:t>„</w:t>
            </w:r>
            <w:r w:rsidRPr="000F4E41">
              <w:rPr>
                <w:rFonts w:ascii="Times New Roman" w:hAnsi="Times New Roman"/>
                <w:i/>
              </w:rPr>
              <w:t xml:space="preserve">14) standardy klasyfikacyjne – wprowadzone na podstawie ustawy klasyfikacje, o których mowa w art. 40 ust. 1 pkt 1, które są umownie przyjętymi, hierarchicznie usystematyzowanymi podziałami lub zbiorami rodzajów: </w:t>
            </w:r>
          </w:p>
          <w:p w14:paraId="6F37AC90" w14:textId="77777777" w:rsidR="00380731" w:rsidRPr="000F4E41" w:rsidRDefault="00380731" w:rsidP="006602F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wykonywanej przez podmioty gospodarki narodowej działalności,</w:t>
            </w:r>
          </w:p>
          <w:p w14:paraId="45E3FF5B" w14:textId="77777777" w:rsidR="00380731" w:rsidRPr="000F4E41" w:rsidRDefault="00380731" w:rsidP="006602F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wyrobów i usług występujących w obiegu gospodarczym,</w:t>
            </w:r>
          </w:p>
          <w:p w14:paraId="56C82764" w14:textId="77777777" w:rsidR="00380731" w:rsidRPr="000F4E41" w:rsidRDefault="00380731" w:rsidP="006602F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obiektów budowlanych,</w:t>
            </w:r>
          </w:p>
          <w:p w14:paraId="579BFF4B" w14:textId="77777777" w:rsidR="00380731" w:rsidRPr="000F4E41" w:rsidRDefault="00380731" w:rsidP="006602FF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 w:rsidRPr="000F4E41">
              <w:rPr>
                <w:rFonts w:ascii="Times New Roman" w:eastAsia="Times New Roman" w:hAnsi="Times New Roman"/>
                <w:i/>
              </w:rPr>
              <w:t>obiektów majątku trwałego.”</w:t>
            </w:r>
          </w:p>
          <w:p w14:paraId="169DC387" w14:textId="77777777" w:rsidR="00380731" w:rsidRPr="000F4E41" w:rsidRDefault="00380731" w:rsidP="007214C3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  <w:p w14:paraId="3D62DF5F" w14:textId="77777777" w:rsidR="00380731" w:rsidRPr="000F4E41" w:rsidRDefault="00380731" w:rsidP="007214C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Art. 40 otrzymuje brzmienie:</w:t>
            </w:r>
          </w:p>
          <w:p w14:paraId="213D9705" w14:textId="62AC6317" w:rsidR="00141676" w:rsidRPr="005F423A" w:rsidRDefault="00141676" w:rsidP="00141676">
            <w:pPr>
              <w:pStyle w:val="ZUSTzmustartykuempunktem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„</w:t>
            </w:r>
            <w:r w:rsidRPr="005F423A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Art. 40</w:t>
            </w: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. 1. Prezes Głównego Urzędu Statystycznego, w porozumieniu z właściwymi naczelnymi organami administracji państwowej, opracowuje podstawowe do określenia przebiegu i opisu procesów gospodarczych i społecznych:</w:t>
            </w:r>
          </w:p>
          <w:p w14:paraId="52D74FCA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1) standardy klasyfikacyjne:</w:t>
            </w:r>
          </w:p>
          <w:p w14:paraId="291CE255" w14:textId="77777777" w:rsidR="00141676" w:rsidRPr="005F423A" w:rsidRDefault="00141676" w:rsidP="00141676">
            <w:pPr>
              <w:pStyle w:val="ZLITwPKTzmlitwpktartykuempunktem"/>
              <w:spacing w:line="240" w:lineRule="auto"/>
              <w:ind w:left="987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a) Polską Klasyfikację Działalności (PKD),</w:t>
            </w:r>
          </w:p>
          <w:p w14:paraId="5423AA93" w14:textId="77777777" w:rsidR="00141676" w:rsidRPr="005F423A" w:rsidRDefault="00141676" w:rsidP="00141676">
            <w:pPr>
              <w:pStyle w:val="ZLITwPKTzmlitwpktartykuempunktem"/>
              <w:spacing w:line="240" w:lineRule="auto"/>
              <w:ind w:left="987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b) Polską Klasyfikację Wyrobów i Usług (PKWiU),</w:t>
            </w:r>
          </w:p>
          <w:p w14:paraId="77539F1E" w14:textId="426184C0" w:rsidR="00141676" w:rsidRPr="005F423A" w:rsidRDefault="00141676" w:rsidP="00141676">
            <w:pPr>
              <w:pStyle w:val="ZLITwPKTzmlitwpktartykuempunktem"/>
              <w:spacing w:line="240" w:lineRule="auto"/>
              <w:ind w:left="987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c) Polską Klasyfikację </w:t>
            </w:r>
            <w:r w:rsidR="00370C1D"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Obiektów Budowlanych </w:t>
            </w: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(PK</w:t>
            </w:r>
            <w:r w:rsidR="00370C1D"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OB</w:t>
            </w: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),</w:t>
            </w:r>
          </w:p>
          <w:p w14:paraId="5E0C3A4F" w14:textId="77777777" w:rsidR="00141676" w:rsidRPr="005F423A" w:rsidRDefault="00141676" w:rsidP="00141676">
            <w:pPr>
              <w:pStyle w:val="ZLITwPKTzmlitwpktartykuempunktem"/>
              <w:spacing w:line="240" w:lineRule="auto"/>
              <w:ind w:left="987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d) Klasyfikację Środków Trwałych (KŚT);</w:t>
            </w:r>
          </w:p>
          <w:p w14:paraId="1625BEA5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2) wzajemne relacje między standardami klasyfikacyjnymi, o których mowa w pkt 1;</w:t>
            </w:r>
          </w:p>
          <w:p w14:paraId="410F8088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3) interpretacje standardów klasyfikacyjnych, o których mowa w pkt 1</w:t>
            </w:r>
          </w:p>
          <w:p w14:paraId="0AC2AAEA" w14:textId="77777777" w:rsidR="00141676" w:rsidRPr="005F423A" w:rsidRDefault="00141676" w:rsidP="00141676">
            <w:pPr>
              <w:pStyle w:val="ZUSTzmustartykuempunktem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2. Rada Ministrów określa, w drodze rozporządzenia:</w:t>
            </w:r>
          </w:p>
          <w:p w14:paraId="69238DC0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1) standardy klasyfikacyjne, o których mowa w ust. 1 pkt 1;</w:t>
            </w:r>
          </w:p>
          <w:p w14:paraId="1401E82D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2) wzajemne relacje pomiędzy obowiązującym i wprowadzanym albo zmienianym standardem klasyfikacyjnym;</w:t>
            </w:r>
          </w:p>
          <w:p w14:paraId="2834CFA1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3) okres przejściowy równoczesnego stosowania dotychczasowego i wprowadzanego albo zmienianego standardu klasyfikacyjnego.</w:t>
            </w:r>
          </w:p>
          <w:p w14:paraId="0D0E1FB2" w14:textId="77777777" w:rsidR="00141676" w:rsidRPr="005F423A" w:rsidRDefault="00141676" w:rsidP="00141676">
            <w:pPr>
              <w:pStyle w:val="ZUSTzmustartykuempunktem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3. W przypadku Polskiej Klasyfikacji Działalności wzajemne relacje pomiędzy obowiązującym i wprowadzanym albo zmienianym standardem klasyfikacyjnym, o których mowa w ust. 2 pkt 2, obejmują:</w:t>
            </w:r>
          </w:p>
          <w:p w14:paraId="71E298B9" w14:textId="77777777" w:rsidR="00141676" w:rsidRPr="005F423A" w:rsidRDefault="00141676" w:rsidP="00141676">
            <w:pPr>
              <w:pStyle w:val="ZLITPKTzmpktliter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1) wzajemne relacje wieloznaczne pomiędzy obowiązującą i wprowadzaną albo zmienianą klasyfikacją;</w:t>
            </w:r>
          </w:p>
          <w:p w14:paraId="1D09DFBB" w14:textId="77777777" w:rsidR="00141676" w:rsidRPr="005F423A" w:rsidRDefault="00141676" w:rsidP="00141676">
            <w:pPr>
              <w:pStyle w:val="ZLITPKTzmpktliter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2) wzajemne relacje jednoznaczne pomiędzy obowiązującą i wprowadzaną albo zmienianą klasyfikacją;</w:t>
            </w:r>
          </w:p>
          <w:p w14:paraId="1ED8B96A" w14:textId="77777777" w:rsidR="00141676" w:rsidRPr="005F423A" w:rsidRDefault="00141676" w:rsidP="00141676">
            <w:pPr>
              <w:pStyle w:val="ZLITPKTzmpktliter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3) szczegółowe interpretacje wzajemnych relacji wieloznacznych, o których mowa w pkt 1.</w:t>
            </w:r>
          </w:p>
          <w:p w14:paraId="7B4DDEFC" w14:textId="77777777" w:rsidR="00141676" w:rsidRPr="005F423A" w:rsidRDefault="00141676" w:rsidP="00141676">
            <w:pPr>
              <w:pStyle w:val="ZUSTzmustartykuempunktem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4. Dla każdego ze standardów klasyfikacyjnych, o których mowa w ust. 1 pkt 1, Rada Ministrów, wydając rozporządzenie na podstawie ust. 2 albo na podstawie ust. 2 i 3, uwzględnia:</w:t>
            </w:r>
          </w:p>
          <w:p w14:paraId="757074B0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1) potrzeby użytkowników danej klasyfikacji;</w:t>
            </w:r>
          </w:p>
          <w:p w14:paraId="7639699D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2) adekwatność długości okresu przejściowego równoczesnego stosowania dotychczasowej i </w:t>
            </w: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wprowadzanej albo zmienianej klasyfikacji do zakresu wprowadzanych zmian.</w:t>
            </w:r>
          </w:p>
          <w:p w14:paraId="1395989C" w14:textId="77777777" w:rsidR="00141676" w:rsidRPr="005F423A" w:rsidRDefault="00141676" w:rsidP="00141676">
            <w:pPr>
              <w:pStyle w:val="ZUSTzmustartykuempunktem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5. W przypadku Polskiej Klasyfikacji Działalności Rada Ministrów, wydając rozporządzenie na podstawie ust. 2 i 3, uwzględnia również konieczność:</w:t>
            </w:r>
          </w:p>
          <w:p w14:paraId="6D0C53CA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1) zachowania zgodności metodologicznej, pojęciowej, zakresowej i kodowej Polskiej Klasyfikacji Działalności z klasyfikacją działalności obowiązującą w Unii Europejskiej;</w:t>
            </w:r>
          </w:p>
          <w:p w14:paraId="0CF7524A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2) zapewnienia poszczególnym rejestrom urzędowym możliwości automatycznego przeklasyfikowanie wskazanych kodów rodzajów działalności;</w:t>
            </w:r>
          </w:p>
          <w:p w14:paraId="071C9590" w14:textId="77777777" w:rsidR="00141676" w:rsidRPr="005F423A" w:rsidRDefault="00141676" w:rsidP="00141676">
            <w:pPr>
              <w:pStyle w:val="ZPKTzmpktartykuempunktem"/>
              <w:spacing w:line="240" w:lineRule="auto"/>
              <w:ind w:left="51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3) zapewnienia podmiotom gospodarki narodowej możliwości wykorzystania wzajemnych relacji pomiędzy obowiązującą i wprowadzaną albo zmienianą klasyfikacją do samodzielnego określenia wykonywanych rodzajów działalności.</w:t>
            </w:r>
          </w:p>
          <w:p w14:paraId="6EA25D06" w14:textId="754271FE" w:rsidR="00141676" w:rsidRPr="005F423A" w:rsidRDefault="00141676" w:rsidP="00141676">
            <w:pPr>
              <w:pStyle w:val="ZUSTzmustartykuempunktem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6. W przypadku Polskiej Klasyfikacji Wyrobów i Usług, Rada Ministrów, wydając rozporządzenie na podstawie ust. 2, uwzględnia również konieczność zachowania zgodności metodologicznej, pojęciowej, zakresowej i kodowej Polskiej Klasyfikacji Wyrobów i Usług z klasyfikacją produktów według działalności obowiązującą w Unii Europejskiej.</w:t>
            </w:r>
          </w:p>
          <w:p w14:paraId="0F0D255F" w14:textId="77777777" w:rsidR="00A859D2" w:rsidRPr="005F423A" w:rsidRDefault="00141676" w:rsidP="00141676">
            <w:pPr>
              <w:pStyle w:val="ZUSTzmustartykuempunktem"/>
              <w:spacing w:line="240" w:lineRule="auto"/>
              <w:ind w:left="0"/>
              <w:jc w:val="left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7. Standardy klasyfikacyjne, o których mowa w ust. 1 pkt 1, stosuje się w statystyce publicznej, ewidencji i dokumentacji oraz rachunkowości, a także w rejestrach urzędowych i systemach informacyjnych administracji publicznej.”.</w:t>
            </w:r>
          </w:p>
          <w:p w14:paraId="164362A0" w14:textId="77777777" w:rsidR="000E4058" w:rsidRPr="005F423A" w:rsidRDefault="000E4058" w:rsidP="00141676">
            <w:pPr>
              <w:pStyle w:val="ZUSTzmustartykuempunktem"/>
              <w:spacing w:line="240" w:lineRule="auto"/>
              <w:ind w:left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477565" w14:textId="5A5D6990" w:rsidR="000E4058" w:rsidRPr="005F423A" w:rsidRDefault="000E4058" w:rsidP="000E4058">
            <w:pPr>
              <w:pStyle w:val="ZUSTzmustartykuempunktem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sz w:val="22"/>
                <w:szCs w:val="22"/>
              </w:rPr>
              <w:t>Jednocześnie po art. 40 ustawy o statystyce publicznej proponuje się dodanie art. 40a i 40b w brzmieniu:</w:t>
            </w:r>
          </w:p>
          <w:p w14:paraId="6B132E1D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„Art. 40a. 1. W przypadku Polskiej Klasyfikacji Działalności, wzajemne relacje wieloznaczne oraz wzajemne relacje jednoznaczne pomiędzy obowiązującym i wprowadzanym albo zmienianym standardem klasyfikacyjnym, o których mowa w art. 40 ust. 3, umożliwiają:</w:t>
            </w:r>
          </w:p>
          <w:p w14:paraId="59DCF75C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1) podmiotom wykonującym działalność gospodarczą złożenie wniosku o zmianę wpisu w Centralnej Ewidencji i Informacji o Działalności Gospodarczej, Krajowym Rejestrze Sądowym lub rejestrze REGON w zakresie dotyczącym zmiany kodu rodzaju działalności według Polskiej Klasyfikacji Działalności, przed upływem terminu równoczesnego stosowania dotychczasowej i wprowadzanej albo zmienianej klasyfikacji, określonego w przepisach wykonawczych wydanych na podstawie art. 40 ust. 2 i 3;</w:t>
            </w:r>
          </w:p>
          <w:p w14:paraId="0D0A62C3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2) Centralnej Ewidencji i Informacji o Działalności Gospodarczej oraz rejestrowi REGON automatyczne przeklasyfikowanie wskazanych kodów rodzajów działalności po upływie terminu równoczesnego stosowania dotychczasowej i wprowadzanej albo zmienianej klasyfikacji, określonego w przepisach wykonawczych wydanych na podstawie art. 40 ust. 2 i 3.</w:t>
            </w:r>
          </w:p>
          <w:p w14:paraId="627B7A40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2. Wzajemne relacje jednoznaczne, o których mowa w art. 40 ust. 3 pkt 2, oraz szczegółowe interpretacje wzajemnych relacji wieloznacznych, o których mowa w art. 40 ust. 3 pkt 3, umożliwiają również rejestrowi REGON automatyczne przeklasyfikowanie wskazanych kodów przedmiotu działalności według Polskiej Klasyfikacji Działalności dla podmiotów zarejestrowanych w Krajowym Rejestrze Sądowym po:</w:t>
            </w:r>
          </w:p>
          <w:p w14:paraId="360DD7EC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1) upływie terminu równoczesnego stosowania dotychczasowej i wprowadzanej albo zmienianej klasyfikacji, określonego w przepisach wykonawczych wydanych na podstawie art. 40 ust. 2 i 3 oraz </w:t>
            </w:r>
          </w:p>
          <w:p w14:paraId="4C213713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2) otrzymaniu przez rejestr REGON z Krajowego Rejestru Sądowego zestawienia podmiotów wymagających takiego automatycznego przeklasyfikowania. </w:t>
            </w:r>
          </w:p>
          <w:p w14:paraId="314AB28A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3. W przypadku, o którym mowa w ust. 2:</w:t>
            </w:r>
          </w:p>
          <w:p w14:paraId="19B01B6C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1) rejestr REGON niezwłocznie po przeklasyfikowaniu wskazanych kodów przedmiotu działalności według Polskiej Klasyfikacji Działalności </w:t>
            </w: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dla podmiotów zarejestrowanych w Krajowym Rejestrze Sądowym przesyła informację o zmienionych dla tych podmiotów kodach  przedmiotu działalności według Polskiej Klasyfikacji Działalności do Krajowego Rejestru Sądowego;</w:t>
            </w:r>
          </w:p>
          <w:p w14:paraId="1418B60F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2) Krajowy Rejestr Sądowy dokonuje wpisu w przedmiocie dotyczącym zmienionego kodu przedmiotu działalności według Polskiej Klasyfikacji Działalności, który polega na automatycznym zamieszczeniu w Krajowym Rejestrze Sądowym informacji otrzymanej z rejestru REGON, o której mowa w pkt 1.</w:t>
            </w:r>
          </w:p>
          <w:p w14:paraId="130D1D4B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Art. 40b. 1. Po wydaniu nowych albo zmianie dotychczasowych przepisów wykonawczych wydanych na podstawie art. 40 ust. 2  i 3 w zakresie dotyczącym Polskiej Klasyfikacji Działalności, podmioty wpisane do rejestru REGON składając wniosek o zmianę wpisu w rejestrze  REGON są zobowiązane wskazać kody Polskiej Klasyfikacji Działalności, wynikające z tych przepisów wykonawczych.</w:t>
            </w:r>
          </w:p>
          <w:p w14:paraId="7929706D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2. Wniosek o zmianę wpisu, o którym mowa w ust. 1, podmiot ma obowiązek złożyć przed upływem terminu równoczesnego stosowania dotychczasowej i prowadzanej albo zmienianej Polskiej Klasyfikacji Działalności, określonego w przepisach wykonawczych wydanych na podstawie art. 40 ust. 2 i 3.</w:t>
            </w:r>
          </w:p>
          <w:p w14:paraId="45CB0FEA" w14:textId="77777777" w:rsidR="00D62808" w:rsidRPr="005F423A" w:rsidRDefault="00D62808" w:rsidP="00147DD4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3. Po upływie terminu, o którym mowa w ust. 2, w razie niedopełnienia przez podmiot obowiązku zgłoszenia do rejestru REGON zmiany, o której mowa w ust 1, kod ten jest zmieniany automatycznie w rejestrze REGON, w sposób ustalony we wzajemnych relacjach jednoznacznych pomiędzy obowiązującą i wprowadzaną albo zmienianą Polską Klasyfikacją Działalności oraz szczegółowych interpretacjach wzajemnych relacji wieloznacznych pomiędzy obowiązującą i wprowadzaną albo zmienianą Polską Klasyfikacją Działalności, określonych w przepisach wykonawczych wydanych na podstawie art. 40 ust. 2 i 3.</w:t>
            </w:r>
          </w:p>
          <w:p w14:paraId="659D8CF4" w14:textId="77777777" w:rsidR="00444F53" w:rsidRDefault="00D62808" w:rsidP="00444F53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4. W przypadku, o którym mowa w ust. 3, automatyczna zmiana kodu Polskiej Klasyfikacji </w:t>
            </w: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Działalności w rejestrze REGON jest dokonywana wyłącznie w odniesieniu do podmiotów, które nie są wpisane do Centralnej Ewidencji i Informacji o Działalności Gospodarczej lub Rejestru Szkół i Placówek Oświatowych.</w:t>
            </w:r>
          </w:p>
          <w:p w14:paraId="566D143F" w14:textId="41E697A1" w:rsidR="000E4058" w:rsidRPr="00444F53" w:rsidRDefault="00D62808" w:rsidP="00444F53">
            <w:pPr>
              <w:pStyle w:val="ZUSTzmustartykuempunktem"/>
              <w:spacing w:line="240" w:lineRule="auto"/>
              <w:ind w:left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5. W przypadku, o którym mowa w ust. 3, automatyczna zmiana kodu Polskiej Klasyfikacji Działalności dla podmiotów zarejestrowanych w Krajowym Rejestrze Sądowym, jest dokonywana na zasadach i w trybie określonych w art. 40a ust. 2 i 3.”</w:t>
            </w:r>
            <w:r w:rsidR="00444F53"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</w:p>
        </w:tc>
      </w:tr>
      <w:tr w:rsidR="009C1AEA" w:rsidRPr="000F4E41" w14:paraId="6F8B7295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F6A1579" w14:textId="77777777" w:rsidR="009C1AEA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5</w:t>
            </w:r>
            <w:r w:rsidR="00290D96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3C66EF0" w14:textId="77777777" w:rsidR="009C1AEA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 xml:space="preserve"> </w:t>
            </w:r>
          </w:p>
          <w:p w14:paraId="1E9ADEEE" w14:textId="77777777" w:rsidR="009C1AEA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</w:t>
            </w:r>
            <w:r w:rsidR="00290D96" w:rsidRPr="000F4E41">
              <w:rPr>
                <w:rFonts w:ascii="Times New Roman" w:hAnsi="Times New Roman"/>
              </w:rPr>
              <w:br/>
            </w:r>
            <w:r w:rsidRPr="000F4E41">
              <w:rPr>
                <w:rFonts w:ascii="Times New Roman" w:hAnsi="Times New Roman"/>
              </w:rPr>
              <w:t>w trybie roboczym)</w:t>
            </w:r>
          </w:p>
        </w:tc>
        <w:tc>
          <w:tcPr>
            <w:tcW w:w="2410" w:type="dxa"/>
            <w:shd w:val="clear" w:color="auto" w:fill="auto"/>
          </w:tcPr>
          <w:p w14:paraId="3667201C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7 projektu</w:t>
            </w:r>
          </w:p>
          <w:p w14:paraId="2D47AF3C" w14:textId="77777777" w:rsidR="009C1AEA" w:rsidRPr="000F4E41" w:rsidRDefault="009C1A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40 ust. 2b ustawy o statystyce publicznej)</w:t>
            </w:r>
          </w:p>
          <w:p w14:paraId="321A5B34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38299B87" w14:textId="77777777" w:rsidR="009C1AEA" w:rsidRPr="000F4E41" w:rsidRDefault="009C1A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dodawanym ust. 2b pkt. 3 w art. 40 proponujemy rozważenie zastąpienia wyrazu „drugorzędnych” wyrazem „pozostałych”. W przypadku uwzględnienia ww. sugestii należałoby także zastąpić wyrazy w cz. 4 i 6 OSR.</w:t>
            </w:r>
          </w:p>
        </w:tc>
        <w:tc>
          <w:tcPr>
            <w:tcW w:w="5103" w:type="dxa"/>
          </w:tcPr>
          <w:p w14:paraId="2F406861" w14:textId="473CA8E5" w:rsidR="00995757" w:rsidRPr="000F4E41" w:rsidRDefault="00995757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</w:t>
            </w:r>
            <w:r w:rsidR="003D6891" w:rsidRPr="000F4E41">
              <w:rPr>
                <w:rFonts w:ascii="Times New Roman" w:hAnsi="Times New Roman"/>
                <w:b/>
              </w:rPr>
              <w:t xml:space="preserve">częściowo </w:t>
            </w:r>
            <w:r w:rsidRPr="000F4E41">
              <w:rPr>
                <w:rFonts w:ascii="Times New Roman" w:hAnsi="Times New Roman"/>
                <w:b/>
              </w:rPr>
              <w:t>uwzględniona</w:t>
            </w:r>
          </w:p>
          <w:p w14:paraId="54F11F03" w14:textId="77777777" w:rsidR="00995757" w:rsidRPr="000F4E41" w:rsidRDefault="00995757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6D0F451" w14:textId="2D1A88D5" w:rsidR="00120361" w:rsidRPr="000F4E41" w:rsidRDefault="00120361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Ustalono nowe brzmienie art. </w:t>
            </w:r>
            <w:r w:rsidR="00EB0B82" w:rsidRPr="000F4E41">
              <w:rPr>
                <w:rFonts w:ascii="Times New Roman" w:hAnsi="Times New Roman"/>
              </w:rPr>
              <w:t>40</w:t>
            </w:r>
            <w:r w:rsidRPr="000F4E41">
              <w:rPr>
                <w:rFonts w:ascii="Times New Roman" w:hAnsi="Times New Roman"/>
              </w:rPr>
              <w:t>.</w:t>
            </w:r>
          </w:p>
          <w:p w14:paraId="22E6139F" w14:textId="67983D51" w:rsidR="009C1AEA" w:rsidRPr="000F4E41" w:rsidRDefault="00A00CE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OSR zosta</w:t>
            </w:r>
            <w:r w:rsidR="00D62808" w:rsidRPr="000F4E41">
              <w:rPr>
                <w:rFonts w:ascii="Times New Roman" w:hAnsi="Times New Roman"/>
              </w:rPr>
              <w:t xml:space="preserve">ł </w:t>
            </w:r>
            <w:r w:rsidR="00326518" w:rsidRPr="000F4E41">
              <w:rPr>
                <w:rFonts w:ascii="Times New Roman" w:hAnsi="Times New Roman"/>
              </w:rPr>
              <w:t xml:space="preserve">dostosowany do </w:t>
            </w:r>
            <w:r w:rsidR="00444F53">
              <w:rPr>
                <w:rFonts w:ascii="Times New Roman" w:hAnsi="Times New Roman"/>
              </w:rPr>
              <w:t xml:space="preserve">tej </w:t>
            </w:r>
            <w:r w:rsidR="00326518" w:rsidRPr="000F4E41">
              <w:rPr>
                <w:rFonts w:ascii="Times New Roman" w:hAnsi="Times New Roman"/>
              </w:rPr>
              <w:t>zmiany.</w:t>
            </w:r>
          </w:p>
        </w:tc>
      </w:tr>
      <w:tr w:rsidR="00590A56" w:rsidRPr="000F4E41" w14:paraId="74FFA10F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53B7A455" w14:textId="77777777" w:rsidR="00590A56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6.</w:t>
            </w:r>
          </w:p>
        </w:tc>
        <w:tc>
          <w:tcPr>
            <w:tcW w:w="1421" w:type="dxa"/>
            <w:shd w:val="clear" w:color="auto" w:fill="auto"/>
          </w:tcPr>
          <w:p w14:paraId="4728216D" w14:textId="77777777" w:rsidR="00590A56" w:rsidRPr="000F4E41" w:rsidRDefault="00590A56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</w:tc>
        <w:tc>
          <w:tcPr>
            <w:tcW w:w="2410" w:type="dxa"/>
            <w:shd w:val="clear" w:color="auto" w:fill="auto"/>
          </w:tcPr>
          <w:p w14:paraId="6997368D" w14:textId="77777777" w:rsidR="001D72DE" w:rsidRPr="000F4E41" w:rsidRDefault="001D72D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1 pkt 7 projektu</w:t>
            </w:r>
          </w:p>
          <w:p w14:paraId="6914A4E6" w14:textId="77777777" w:rsidR="00590A56" w:rsidRPr="000F4E41" w:rsidRDefault="001D72D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40 ust. 2c ustawy o statystyce publicznej)</w:t>
            </w:r>
          </w:p>
        </w:tc>
        <w:tc>
          <w:tcPr>
            <w:tcW w:w="5670" w:type="dxa"/>
            <w:shd w:val="clear" w:color="auto" w:fill="auto"/>
          </w:tcPr>
          <w:p w14:paraId="5806F80D" w14:textId="77777777" w:rsidR="00590A56" w:rsidRPr="000F4E41" w:rsidRDefault="001D72D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projektowanym art. 40 ustawy o statystyce publicznej (art. 1 pkt 7 projektu), </w:t>
            </w:r>
            <w:r w:rsidRPr="000F4E41">
              <w:rPr>
                <w:rFonts w:ascii="Times New Roman" w:eastAsiaTheme="minorHAnsi" w:hAnsi="Times New Roman"/>
                <w:b/>
              </w:rPr>
              <w:t>wskazano na zróżnicowanie miejsc, w których zawarta ma być regulacja dot. Polskiej Klasyfikacji Działalności, zwana dalej „PKD”, tj. r</w:t>
            </w:r>
            <w:r w:rsidRPr="000F4E41">
              <w:rPr>
                <w:rFonts w:ascii="Times New Roman" w:eastAsiaTheme="minorHAnsi" w:hAnsi="Times New Roman"/>
              </w:rPr>
              <w:t>ozporządzenie Rady Ministrów oraz komunikat Prezesa Głównego Urzędu Statystycznego. Powyższe zagadnienia będą</w:t>
            </w:r>
            <w:r w:rsidR="00A02B50"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 xml:space="preserve">znajdować się w różnych aktach prawnych o odmiennym charakterze, co w konsekwencji może prowadzić do utrudnienia ich realizacji. </w:t>
            </w:r>
            <w:r w:rsidRPr="000F4E41">
              <w:rPr>
                <w:rFonts w:ascii="Times New Roman" w:eastAsiaTheme="minorHAnsi" w:hAnsi="Times New Roman"/>
                <w:b/>
              </w:rPr>
              <w:t>W uzasadnieniu do projektu nie wskazano motywów i potrzeb uzasadniających konieczności takiego rozdzielenia</w:t>
            </w:r>
            <w:r w:rsidRPr="000F4E41">
              <w:rPr>
                <w:rFonts w:ascii="Times New Roman" w:eastAsiaTheme="minorHAnsi" w:hAnsi="Times New Roman"/>
              </w:rPr>
              <w:t xml:space="preserve">. Dodatkowo 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komunikat GUS ma wejść w życie w innym terminie niż rozporządzenie RM. </w:t>
            </w:r>
            <w:r w:rsidRPr="000F4E41">
              <w:rPr>
                <w:rFonts w:ascii="Times New Roman" w:eastAsiaTheme="minorHAnsi" w:hAnsi="Times New Roman"/>
              </w:rPr>
              <w:t xml:space="preserve">Zwrócić należy uwagę, iż zgodnie z dodawanym w art. 2c, </w:t>
            </w:r>
            <w:r w:rsidRPr="000F4E41">
              <w:rPr>
                <w:rFonts w:ascii="Times New Roman" w:eastAsiaTheme="minorHAnsi" w:hAnsi="Times New Roman"/>
                <w:b/>
              </w:rPr>
              <w:t>Prezes GUS będzie wydawał komunikat do nieobowiązującego rozporządzenia</w:t>
            </w:r>
            <w:r w:rsidRPr="000F4E41">
              <w:rPr>
                <w:rFonts w:ascii="Times New Roman" w:eastAsiaTheme="minorHAnsi" w:hAnsi="Times New Roman"/>
              </w:rPr>
              <w:t xml:space="preserve"> Rady Ministrów, albowiem ma obowiązek wydać komunikat przed dniem wejścia w życie rozporządzenia RM. Prezes GUS może wydawać komunikaty wielokrotnie (np. korygując wcześniej przyjęte zasady). W konsekwencji stabilność takiego komunikatu może być znacząco  niższa niż treść rozporządzenia RM.</w:t>
            </w:r>
          </w:p>
        </w:tc>
        <w:tc>
          <w:tcPr>
            <w:tcW w:w="5103" w:type="dxa"/>
          </w:tcPr>
          <w:p w14:paraId="0FBEAD5A" w14:textId="77777777" w:rsidR="00326518" w:rsidRPr="000F4E41" w:rsidRDefault="00326518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34E6024B" w14:textId="77777777" w:rsidR="00444F53" w:rsidRPr="000F4E41" w:rsidRDefault="00444F5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B5A74C9" w14:textId="26B1BC46" w:rsidR="00703F54" w:rsidRPr="000F4E41" w:rsidRDefault="00703F54" w:rsidP="00703F54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Dla każdego z czterech standardów klasyfikacyjnych (PKD, PKWiU, PKOB, KŚT) wzajemne relacje pomiędzy obowiązującym i wprowadzanym albo zmienianym standardem klasyfikacyjnym będą uregulowane w rozporządzeniu </w:t>
            </w:r>
            <w:r w:rsidR="00444F53">
              <w:rPr>
                <w:rFonts w:ascii="Times New Roman" w:hAnsi="Times New Roman"/>
              </w:rPr>
              <w:t xml:space="preserve">Rady Ministrów </w:t>
            </w:r>
            <w:r w:rsidRPr="000F4E41">
              <w:rPr>
                <w:rFonts w:ascii="Times New Roman" w:hAnsi="Times New Roman"/>
              </w:rPr>
              <w:t>określających dany standard klasyfikacyjny. Doprecy6zowanie tej regulacji zastosowano w przypadku Polskiej Klasyfikacji Działalności.</w:t>
            </w:r>
          </w:p>
          <w:p w14:paraId="583F4B17" w14:textId="77777777" w:rsidR="00703F54" w:rsidRPr="000F4E41" w:rsidRDefault="00703F54" w:rsidP="00703F5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</w:rPr>
              <w:t>Zgodnie z proponowanym art. 40 ust. 3 ustawy o statystyce publicznej: „</w:t>
            </w:r>
            <w:r w:rsidRPr="000F4E41">
              <w:rPr>
                <w:rFonts w:ascii="Times New Roman" w:hAnsi="Times New Roman"/>
                <w:i/>
              </w:rPr>
              <w:t>w przypadku Polskiej Klasyfikacji Działalności wzajemne relacje pomiędzy obowiązującym i wprowadzanym albo zmienianym standardem klasyfikacyjnym, o których mowa w ust. 2 pkt 2, obejmują:</w:t>
            </w:r>
          </w:p>
          <w:p w14:paraId="0F3085CE" w14:textId="77777777" w:rsidR="00703F54" w:rsidRPr="005F423A" w:rsidRDefault="00703F54" w:rsidP="00703F54">
            <w:pPr>
              <w:pStyle w:val="ZLITPKTzmpktliter"/>
              <w:spacing w:line="240" w:lineRule="auto"/>
              <w:ind w:left="51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1) wzajemne relacje wieloznaczne pomiędzy obowiązującą i wprowadzaną albo zmienianą klasyfikacją;</w:t>
            </w:r>
          </w:p>
          <w:p w14:paraId="5389D826" w14:textId="77777777" w:rsidR="00703F54" w:rsidRPr="005F423A" w:rsidRDefault="00703F54" w:rsidP="00703F54">
            <w:pPr>
              <w:pStyle w:val="ZLITPKTzmpktliter"/>
              <w:spacing w:line="240" w:lineRule="auto"/>
              <w:ind w:left="51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2) wzajemne relacje jednoznaczne pomiędzy obowiązującą i wprowadzaną albo zmienianą klasyfikacją;</w:t>
            </w:r>
          </w:p>
          <w:p w14:paraId="6A35F900" w14:textId="04BEB909" w:rsidR="00703F54" w:rsidRPr="005F423A" w:rsidRDefault="00703F54" w:rsidP="00703F54">
            <w:pPr>
              <w:pStyle w:val="ZLITPKTzmpktliter"/>
              <w:spacing w:line="240" w:lineRule="auto"/>
              <w:ind w:left="510"/>
              <w:rPr>
                <w:rFonts w:ascii="Times New Roman" w:hAnsi="Times New Roman" w:cs="Times New Roman"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3) szczegółowe interpretacje wzajemnych relacji wieloznacznych, o których mowa w pkt 1</w:t>
            </w:r>
            <w:r w:rsidRPr="005F423A">
              <w:rPr>
                <w:rFonts w:ascii="Times New Roman" w:hAnsi="Times New Roman" w:cs="Times New Roman"/>
                <w:sz w:val="22"/>
                <w:szCs w:val="22"/>
              </w:rPr>
              <w:t>”.</w:t>
            </w:r>
          </w:p>
          <w:p w14:paraId="339E74FB" w14:textId="77777777" w:rsidR="00703F54" w:rsidRPr="000F4E41" w:rsidRDefault="00703F54" w:rsidP="00703F54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6C7238F3" w14:textId="23CD3502" w:rsidR="00703F54" w:rsidRPr="000F4E41" w:rsidRDefault="00703F54" w:rsidP="00703F54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Znaczenie wzajemnych relacji wieloznacznych, wzajemnych relacji jednoznacznych oraz szczegółowych interpretacji wzajemnych relacji wieloznacznych, w zakresie dotyczącym przeklasyfikowania podmiotów w CEIDG, KRS i rejestrze REGON w przypadku zmian Polskiej Klasyfikacji Działalności, zostało uregulowane w art. 40a i 40b ustawy o statystyce publicznej (art. 1 pkt 8 projektu ustawy).</w:t>
            </w:r>
          </w:p>
        </w:tc>
      </w:tr>
      <w:tr w:rsidR="009C1AEA" w:rsidRPr="000F4E41" w14:paraId="65B0A1A8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DD2B41D" w14:textId="77777777" w:rsidR="009C1AEA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7</w:t>
            </w:r>
            <w:r w:rsidR="009C1AEA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7547328" w14:textId="77777777" w:rsidR="009C1AEA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2DD2AF55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7 projektu</w:t>
            </w:r>
          </w:p>
          <w:p w14:paraId="069D15A4" w14:textId="77777777" w:rsidR="009C1AEA" w:rsidRPr="000F4E41" w:rsidRDefault="009C1A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40 ust. 2c ustawy o statystyce publicznej)</w:t>
            </w:r>
          </w:p>
          <w:p w14:paraId="5353EC2D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55984BA5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najnowszej wersji projektu został dodany przepis art. 40 ust. 2c, który stanowi, że Prezes Głównego Urzędu Statystycznego, przed dniem wejścia w życie przepisów wykonawczych wydanych na podstawie ust. 2 i 2a, określi, w drodze komunikatu:</w:t>
            </w:r>
          </w:p>
          <w:p w14:paraId="4E9AD5DA" w14:textId="77777777" w:rsidR="009C1AEA" w:rsidRPr="000F4E41" w:rsidRDefault="009C1AEA" w:rsidP="007214C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wzajemne relacje pomiędzy obowiązującą i wprowadzaną albo zmienianą klasyfikacją, obejmujące:</w:t>
            </w:r>
          </w:p>
          <w:p w14:paraId="250AEF07" w14:textId="77777777" w:rsidR="009C1AEA" w:rsidRPr="000F4E41" w:rsidRDefault="009C1AEA" w:rsidP="007214C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wzajemne relacje wieloznaczne,</w:t>
            </w:r>
          </w:p>
          <w:p w14:paraId="2F80A96C" w14:textId="77777777" w:rsidR="009C1AEA" w:rsidRPr="000F4E41" w:rsidRDefault="009C1AEA" w:rsidP="007214C3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wzajemne relacje jednoznaczne;</w:t>
            </w:r>
          </w:p>
          <w:p w14:paraId="75F071D1" w14:textId="77777777" w:rsidR="009C1AEA" w:rsidRPr="000F4E41" w:rsidRDefault="009C1AEA" w:rsidP="007214C3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szczegółowe interpretacje wzajemnych relacji wieloznacznych, o których mowa w pkt 1 lit. a.</w:t>
            </w:r>
          </w:p>
          <w:p w14:paraId="244B5A1C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Należy zauważyć, że 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komunikat nie jest aktem, który może kreować określone stany prawne. </w:t>
            </w:r>
            <w:r w:rsidRPr="000F4E41">
              <w:rPr>
                <w:rFonts w:ascii="Times New Roman" w:eastAsiaTheme="minorHAnsi" w:hAnsi="Times New Roman"/>
              </w:rPr>
              <w:t xml:space="preserve">Jest on aktem, który tylko odzwierciedla aktualny stan prawny określony w ustawie i nie stanowi źródła powszechnie obowiązującego prawa. 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Zatem kwestie wymienione w art. 40 ust. 2c (wzajemne relacje czy szczegółowe interpretacje) nie mogą zostać określone w komunikacie. </w:t>
            </w:r>
            <w:r w:rsidRPr="000F4E41">
              <w:rPr>
                <w:rFonts w:ascii="Times New Roman" w:eastAsiaTheme="minorHAnsi" w:hAnsi="Times New Roman"/>
              </w:rPr>
              <w:t xml:space="preserve">Treści zaprojektowane w ww. przepisie </w:t>
            </w:r>
            <w:r w:rsidRPr="000F4E41">
              <w:rPr>
                <w:rFonts w:ascii="Times New Roman" w:eastAsiaTheme="minorHAnsi" w:hAnsi="Times New Roman"/>
                <w:b/>
              </w:rPr>
              <w:t>mogą zostać określone w akcie rangi ustawy bądź w akcie wykonawczym do ustawy</w:t>
            </w:r>
            <w:r w:rsidRPr="000F4E41">
              <w:rPr>
                <w:rFonts w:ascii="Times New Roman" w:eastAsiaTheme="minorHAnsi" w:hAnsi="Times New Roman"/>
              </w:rPr>
              <w:t xml:space="preserve">. Ponadto należy zauważyć, że proponowana regulacja jest też </w:t>
            </w:r>
            <w:r w:rsidRPr="000F4E41">
              <w:rPr>
                <w:rFonts w:ascii="Times New Roman" w:eastAsiaTheme="minorHAnsi" w:hAnsi="Times New Roman"/>
                <w:b/>
              </w:rPr>
              <w:t>wewnętrznie niespójna na gruncie samej ustawy</w:t>
            </w:r>
            <w:r w:rsidRPr="000F4E41">
              <w:rPr>
                <w:rFonts w:ascii="Times New Roman" w:eastAsiaTheme="minorHAnsi" w:hAnsi="Times New Roman"/>
              </w:rPr>
              <w:t>, bowiem rozporządzeniem wydawanym przez Radę Ministrów na podstawie art. 40 ust. 2 ustawy ustanawiającym standardowe klasyfikacje i nomenklatury są określone także wzajemne relacje między nimi oraz ich interpretacje. Wydaje się więc zasadne, aby te relacje i interpretacje zawierały także treści zaproponowane w dodawanym art. 40 ust. 2c ustawy.</w:t>
            </w:r>
          </w:p>
          <w:p w14:paraId="79CCAF52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lastRenderedPageBreak/>
              <w:t>Mając na uwadze powyższe projektowane rozwiązanie wymaga ponownej analizy i skorygowania.</w:t>
            </w:r>
          </w:p>
        </w:tc>
        <w:tc>
          <w:tcPr>
            <w:tcW w:w="5103" w:type="dxa"/>
          </w:tcPr>
          <w:p w14:paraId="352B06B7" w14:textId="77777777" w:rsidR="00481F8A" w:rsidRPr="000F4E41" w:rsidRDefault="00481F8A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4EAD5B38" w14:textId="77777777" w:rsidR="00481F8A" w:rsidRPr="000F4E41" w:rsidRDefault="00481F8A" w:rsidP="007214C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  <w:p w14:paraId="4A18FA57" w14:textId="0B9098C8" w:rsidR="00120361" w:rsidRPr="000F4E41" w:rsidRDefault="00444F5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AF52FC">
              <w:rPr>
                <w:rFonts w:ascii="Times New Roman" w:hAnsi="Times New Roman"/>
              </w:rPr>
              <w:t xml:space="preserve">Wzajemne relacje (wieloznaczne i jednoznaczne) </w:t>
            </w:r>
            <w:r>
              <w:rPr>
                <w:rFonts w:ascii="Times New Roman" w:hAnsi="Times New Roman"/>
              </w:rPr>
              <w:t xml:space="preserve">pomiędzy obowiązującą a wprowadzaną lub zmienianą klasyfikacją </w:t>
            </w:r>
            <w:r w:rsidRPr="00AF52FC">
              <w:rPr>
                <w:rFonts w:ascii="Times New Roman" w:hAnsi="Times New Roman"/>
              </w:rPr>
              <w:t xml:space="preserve">wraz ze szczegółowymi interpretacjami wzajemnych relacji wieloznacznych </w:t>
            </w:r>
            <w:r w:rsidRPr="000F4E41">
              <w:rPr>
                <w:rFonts w:ascii="Times New Roman" w:hAnsi="Times New Roman"/>
              </w:rPr>
              <w:t xml:space="preserve">będą częścią rozporządzenia Rady Ministrów, które zostanie wydane na podstawie art. 40 ust. 2 </w:t>
            </w:r>
            <w:r>
              <w:rPr>
                <w:rFonts w:ascii="Times New Roman" w:hAnsi="Times New Roman"/>
              </w:rPr>
              <w:t xml:space="preserve">i 3 </w:t>
            </w:r>
            <w:r w:rsidRPr="000F4E41">
              <w:rPr>
                <w:rFonts w:ascii="Times New Roman" w:hAnsi="Times New Roman"/>
              </w:rPr>
              <w:t>ustawy o statystyce publicznej (w brzmieniu nadanym projektowaną ustawą).</w:t>
            </w:r>
          </w:p>
          <w:p w14:paraId="0531E1D0" w14:textId="79D92137" w:rsidR="00A44102" w:rsidRPr="000F4E41" w:rsidRDefault="00A44102" w:rsidP="007214C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9C1AEA" w:rsidRPr="000F4E41" w14:paraId="514C2DFE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4436939B" w14:textId="77777777" w:rsidR="009C1AEA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8</w:t>
            </w:r>
            <w:r w:rsidR="009C1AEA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CC97886" w14:textId="77777777" w:rsidR="009C1AEA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58219700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8 projektu</w:t>
            </w:r>
          </w:p>
          <w:p w14:paraId="1BAAD19D" w14:textId="77777777" w:rsidR="009C1AEA" w:rsidRPr="000F4E41" w:rsidRDefault="009C1A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40a ustawy o statystyce publicznej)</w:t>
            </w:r>
          </w:p>
        </w:tc>
        <w:tc>
          <w:tcPr>
            <w:tcW w:w="5670" w:type="dxa"/>
            <w:shd w:val="clear" w:color="auto" w:fill="auto"/>
          </w:tcPr>
          <w:p w14:paraId="03383C1F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Dodawany art. 40a ust. 1 ustawy, obligujący podmioty wykonujące działalność gospodarczą do zaktualizowania w rejestrze REGON kodu PKD, który podlega uchyleniu lub zmianie, </w:t>
            </w:r>
            <w:r w:rsidRPr="000F4E41">
              <w:rPr>
                <w:rFonts w:ascii="Times New Roman" w:hAnsi="Times New Roman"/>
              </w:rPr>
              <w:t>nadal wymaga skorygowania lub pogłębionego wyjaśnienia</w:t>
            </w:r>
            <w:r w:rsidRPr="000F4E41">
              <w:rPr>
                <w:rFonts w:ascii="Times New Roman" w:eastAsiaTheme="minorHAnsi" w:hAnsi="Times New Roman"/>
              </w:rPr>
              <w:t xml:space="preserve">. W przypadku określenia w akcie wykonawczym okresu przejściowego równoczesnego stosowania dotychczasowej i nowej klasyfikacji </w:t>
            </w:r>
            <w:r w:rsidRPr="000F4E41">
              <w:rPr>
                <w:rFonts w:ascii="Times New Roman" w:hAnsi="Times New Roman"/>
                <w:b/>
              </w:rPr>
              <w:t xml:space="preserve">może budzić wątpliwości relacja wynikającego z niego terminu wykonania obowiązku aktualizacji kodu PKD zgodnie z art. 40a ust. 1 ustawy do terminu aktualizacji danych objętych wpisem w razie ich zmiany faktycznej. </w:t>
            </w:r>
            <w:r w:rsidRPr="000F4E41">
              <w:rPr>
                <w:rFonts w:ascii="Times New Roman" w:eastAsiaTheme="minorHAnsi" w:hAnsi="Times New Roman"/>
              </w:rPr>
              <w:t xml:space="preserve">W przypadku CEIDG oraz KRS termin taki jest uregulowany w odrębnych przepisach, a w przypadku rejestru REGON taki termin jest wyznaczony </w:t>
            </w:r>
            <w:r w:rsidRPr="000F4E41">
              <w:rPr>
                <w:rFonts w:ascii="Times New Roman" w:hAnsi="Times New Roman"/>
                <w:b/>
              </w:rPr>
              <w:t>w art. 42 ust. 6 ustawy na 7 dni od zaistnienia okoliczności uzasadniających zmianę</w:t>
            </w:r>
            <w:r w:rsidRPr="000F4E41">
              <w:rPr>
                <w:rFonts w:ascii="Times New Roman" w:eastAsiaTheme="minorHAnsi" w:hAnsi="Times New Roman"/>
              </w:rPr>
              <w:t xml:space="preserve">. Jeżeli zatem w okresie wyznaczonym na aktualizację kodu PKD, który podlega uchyleniu lub zmianie, podmiot równocześnie zmienił </w:t>
            </w:r>
            <w:r w:rsidRPr="000F4E41">
              <w:rPr>
                <w:rFonts w:ascii="Times New Roman" w:hAnsi="Times New Roman"/>
                <w:b/>
              </w:rPr>
              <w:t>rodzaj faktycznie wykonywanej działalności</w:t>
            </w:r>
            <w:r w:rsidRPr="000F4E41">
              <w:rPr>
                <w:rFonts w:ascii="Times New Roman" w:eastAsiaTheme="minorHAnsi" w:hAnsi="Times New Roman"/>
              </w:rPr>
              <w:t xml:space="preserve">, to </w:t>
            </w:r>
            <w:r w:rsidRPr="000F4E41">
              <w:rPr>
                <w:rFonts w:ascii="Times New Roman" w:hAnsi="Times New Roman"/>
              </w:rPr>
              <w:t>nie jest jasne, w którym terminie jest obowiązany do zaktualizowania wpisu w zakresie kodu PKD.</w:t>
            </w:r>
          </w:p>
          <w:p w14:paraId="1F671AB3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Zasadne jest zatem </w:t>
            </w:r>
            <w:r w:rsidRPr="000F4E41">
              <w:rPr>
                <w:rFonts w:ascii="Times New Roman" w:eastAsiaTheme="minorHAnsi" w:hAnsi="Times New Roman"/>
                <w:b/>
              </w:rPr>
              <w:t>ustalenie relacji przepisów określających</w:t>
            </w:r>
            <w:r w:rsidRPr="000F4E41">
              <w:rPr>
                <w:rFonts w:ascii="Times New Roman" w:eastAsiaTheme="minorHAnsi" w:hAnsi="Times New Roman"/>
              </w:rPr>
              <w:t xml:space="preserve"> w tym przypadku terminy wykonania obowiązku aktualizacji wpisów.</w:t>
            </w:r>
          </w:p>
        </w:tc>
        <w:tc>
          <w:tcPr>
            <w:tcW w:w="5103" w:type="dxa"/>
          </w:tcPr>
          <w:p w14:paraId="73CE6BA1" w14:textId="32755021" w:rsidR="00481F8A" w:rsidRPr="000F4E41" w:rsidRDefault="00EA17B8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F423A">
              <w:rPr>
                <w:rFonts w:ascii="Times New Roman" w:hAnsi="Times New Roman"/>
                <w:b/>
              </w:rPr>
              <w:t xml:space="preserve">Wyjaśnienie </w:t>
            </w:r>
          </w:p>
          <w:p w14:paraId="20C6A3F5" w14:textId="77777777" w:rsidR="00120361" w:rsidRPr="000F4E41" w:rsidRDefault="00120361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DC971BE" w14:textId="5267E60A" w:rsidR="008C5C90" w:rsidRPr="005F423A" w:rsidRDefault="00A96D16" w:rsidP="005F423A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</w:rPr>
              <w:t xml:space="preserve">Zaproponowano </w:t>
            </w:r>
            <w:r w:rsidR="00AA3D19" w:rsidRPr="000F4E41">
              <w:rPr>
                <w:rFonts w:ascii="Times New Roman" w:hAnsi="Times New Roman"/>
              </w:rPr>
              <w:t>nowe brzmienie</w:t>
            </w:r>
            <w:r w:rsidR="00EA17B8" w:rsidRPr="000F4E41">
              <w:rPr>
                <w:rFonts w:ascii="Times New Roman" w:hAnsi="Times New Roman"/>
              </w:rPr>
              <w:t>.</w:t>
            </w:r>
            <w:r w:rsidR="00120361" w:rsidRPr="000F4E41">
              <w:rPr>
                <w:rFonts w:ascii="Times New Roman" w:hAnsi="Times New Roman"/>
              </w:rPr>
              <w:t xml:space="preserve"> </w:t>
            </w:r>
            <w:bookmarkStart w:id="0" w:name="_Hlk164358049"/>
          </w:p>
          <w:bookmarkEnd w:id="0"/>
          <w:p w14:paraId="7F023FCE" w14:textId="77777777" w:rsidR="00EA17B8" w:rsidRPr="000F4E41" w:rsidRDefault="00EA17B8" w:rsidP="00EA17B8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Art. 40b. 1. Po wydaniu nowych albo zmianie dotychczasowych przepisów wykonawczych wydanych na podstawie art. 40 ust. 2  i 3 w zakresie dotyczącym Polskiej Klasyfikacji Działalności, podmioty wpisane do rejestru REGON składając wniosek o zmianę wpisu w rejestrze  REGON są zobowiązane wskazać kody Polskiej Klasyfikacji Działalności, wynikające z tych przepisów wykonawczych.</w:t>
            </w:r>
          </w:p>
          <w:p w14:paraId="121D4BD6" w14:textId="21DD376B" w:rsidR="00444F53" w:rsidRDefault="00EA17B8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2. Wniosek o zmianę wpisu, o którym mowa w ust. 1, podmiot ma obowiązek złożyć przed upływem terminu równoczesnego stosowania dotychczasowej i prowadzanej albo zmienianej Polskiej Klasyfikacji Działalności, określonego w przepisach wykonawczych wydanych na podstawie art. 40 ust. 2 i </w:t>
            </w:r>
            <w:r w:rsidR="00444F53">
              <w:rPr>
                <w:rFonts w:ascii="Times New Roman" w:hAnsi="Times New Roman"/>
              </w:rPr>
              <w:t>3.</w:t>
            </w:r>
          </w:p>
          <w:p w14:paraId="29A0E44C" w14:textId="77777777" w:rsidR="00444F53" w:rsidRPr="00444F53" w:rsidRDefault="00444F53" w:rsidP="00444F53">
            <w:pPr>
              <w:pStyle w:val="ZUSTzmustartykuempunktem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44F53">
              <w:rPr>
                <w:rFonts w:ascii="Times New Roman" w:hAnsi="Times New Roman" w:cs="Times New Roman"/>
                <w:sz w:val="22"/>
                <w:szCs w:val="22"/>
              </w:rPr>
              <w:t>3. Po upływie terminu, o którym mowa w ust. 2, w razie niedopełnienia przez podmiot obowiązku zgłoszenia do rejestru REGON zmiany, o której mowa w ust 1, kod ten jest zmieniany automatycznie w rejestrze REGON, w sposób ustalony we wzajemnych relacjach jednoznacznych pomiędzy obowiązującą i wprowadzaną albo zmienianą Polską Klasyfikacją Działalności oraz szczegółowych interpretacjach wzajemnych relacji wieloznacznych pomiędzy obowiązującą i wprowadzaną albo zmienianą Polską Klasyfikacją Działalności, określonych w przepisach wykonawczych wydanych na podstawie art. 40 ust. 2 i 3.</w:t>
            </w:r>
          </w:p>
          <w:p w14:paraId="6D3232CF" w14:textId="77777777" w:rsidR="00444F53" w:rsidRDefault="00444F5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01FCFB8" w14:textId="1AD83B43" w:rsidR="003431CC" w:rsidRDefault="003431CC" w:rsidP="007214C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Należy wyjaśnić, że w</w:t>
            </w:r>
            <w:r w:rsidR="008C5C90" w:rsidRPr="000F4E41">
              <w:rPr>
                <w:rFonts w:ascii="Times New Roman" w:hAnsi="Times New Roman"/>
              </w:rPr>
              <w:t xml:space="preserve"> przypadku, o którym mowa w art. </w:t>
            </w:r>
            <w:r w:rsidR="00EA17B8" w:rsidRPr="000F4E41">
              <w:rPr>
                <w:rFonts w:ascii="Times New Roman" w:hAnsi="Times New Roman"/>
              </w:rPr>
              <w:t>40b</w:t>
            </w:r>
            <w:r w:rsidR="008C5C90" w:rsidRPr="000F4E41">
              <w:rPr>
                <w:rFonts w:ascii="Times New Roman" w:hAnsi="Times New Roman"/>
              </w:rPr>
              <w:t>,  nie stosuje się art. 42 ust. 6</w:t>
            </w:r>
            <w:r w:rsidR="00EA17B8" w:rsidRPr="000F4E41">
              <w:rPr>
                <w:rFonts w:ascii="Times New Roman" w:hAnsi="Times New Roman"/>
              </w:rPr>
              <w:t xml:space="preserve"> ustawy</w:t>
            </w:r>
            <w:r w:rsidR="008C5C90" w:rsidRPr="000F4E41">
              <w:rPr>
                <w:rFonts w:ascii="Times New Roman" w:hAnsi="Times New Roman"/>
              </w:rPr>
              <w:t xml:space="preserve">. Podmiot ma obowiązek zgłoszenia zmiany w terminie, który zostanie wskazany w przepisach wykonawczych </w:t>
            </w:r>
            <w:r w:rsidR="008C5C90" w:rsidRPr="000F4E41">
              <w:rPr>
                <w:rFonts w:ascii="Times New Roman" w:hAnsi="Times New Roman"/>
              </w:rPr>
              <w:lastRenderedPageBreak/>
              <w:t>wydanych na podstawie art. 40 ust. 2</w:t>
            </w:r>
            <w:r w:rsidR="00A16A54" w:rsidRPr="000F4E41">
              <w:rPr>
                <w:rFonts w:ascii="Times New Roman" w:hAnsi="Times New Roman"/>
              </w:rPr>
              <w:t xml:space="preserve"> i 3 </w:t>
            </w:r>
            <w:r w:rsidR="00120361" w:rsidRPr="000F4E41">
              <w:rPr>
                <w:rFonts w:ascii="Times New Roman" w:hAnsi="Times New Roman"/>
              </w:rPr>
              <w:t xml:space="preserve"> </w:t>
            </w:r>
            <w:r w:rsidR="00354462" w:rsidRPr="000F4E41">
              <w:rPr>
                <w:rFonts w:ascii="Times New Roman" w:hAnsi="Times New Roman"/>
              </w:rPr>
              <w:t xml:space="preserve">(w brzmieniu nadanym projektowaną ustawą) </w:t>
            </w:r>
            <w:r w:rsidR="00120361" w:rsidRPr="000F4E41">
              <w:rPr>
                <w:rFonts w:ascii="Times New Roman" w:hAnsi="Times New Roman"/>
              </w:rPr>
              <w:t>w zakresie dotyczącym Polskiej Klasyfikacji Działalności.</w:t>
            </w:r>
            <w:r w:rsidR="00A16A54" w:rsidRPr="000F4E41">
              <w:rPr>
                <w:rFonts w:ascii="Times New Roman" w:hAnsi="Times New Roman"/>
              </w:rPr>
              <w:t xml:space="preserve"> </w:t>
            </w:r>
          </w:p>
          <w:p w14:paraId="35B08E34" w14:textId="03DB3972" w:rsidR="008C5C90" w:rsidRPr="000F4E41" w:rsidRDefault="00A16A54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Analogiczn</w:t>
            </w:r>
            <w:r w:rsidR="003431CC">
              <w:rPr>
                <w:rFonts w:ascii="Times New Roman" w:hAnsi="Times New Roman"/>
              </w:rPr>
              <w:t>e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3431CC">
              <w:rPr>
                <w:rFonts w:ascii="Times New Roman" w:hAnsi="Times New Roman"/>
              </w:rPr>
              <w:t>rozwiązanie</w:t>
            </w:r>
            <w:r w:rsidRPr="000F4E41">
              <w:rPr>
                <w:rFonts w:ascii="Times New Roman" w:hAnsi="Times New Roman"/>
              </w:rPr>
              <w:t xml:space="preserve"> zastosowano w odniesieniu do CEIDG – art. 9.</w:t>
            </w:r>
          </w:p>
        </w:tc>
      </w:tr>
      <w:tr w:rsidR="009C1AEA" w:rsidRPr="000F4E41" w14:paraId="5572A603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728D3F97" w14:textId="77777777" w:rsidR="009C1AEA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1" w:name="_Hlk161646014"/>
            <w:r w:rsidRPr="000F4E41">
              <w:rPr>
                <w:rFonts w:ascii="Times New Roman" w:hAnsi="Times New Roman"/>
              </w:rPr>
              <w:lastRenderedPageBreak/>
              <w:t>9</w:t>
            </w:r>
            <w:r w:rsidR="009C1AEA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2FCD6749" w14:textId="77777777" w:rsidR="009C1AEA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760036DB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10 lit. g oraz j projektu</w:t>
            </w:r>
          </w:p>
          <w:p w14:paraId="01455983" w14:textId="77777777" w:rsidR="009C1AEA" w:rsidRPr="000F4E41" w:rsidRDefault="009C1A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42 ust. 8a i 8b oraz 15-21 ustawy o statystyce publicznej)</w:t>
            </w:r>
          </w:p>
          <w:p w14:paraId="5C87A412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5AAE2A32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 xml:space="preserve">Niezbędne jest uporządkowanie w ustawie przepisów dotyczących „aktualizacji” rejestru REGON. W projektowanym art. 42 w ust. 8a ustawy jest bowiem mowa </w:t>
            </w:r>
            <w:r w:rsidRPr="000F4E41">
              <w:rPr>
                <w:rFonts w:ascii="Times New Roman" w:hAnsi="Times New Roman"/>
                <w:b/>
              </w:rPr>
              <w:t xml:space="preserve">o aktualizacji </w:t>
            </w:r>
            <w:r w:rsidR="00623986" w:rsidRPr="000F4E41">
              <w:rPr>
                <w:rFonts w:ascii="Times New Roman" w:eastAsiaTheme="minorHAnsi" w:hAnsi="Times New Roman"/>
                <w:b/>
              </w:rPr>
              <w:t>r</w:t>
            </w:r>
            <w:r w:rsidRPr="000F4E41">
              <w:rPr>
                <w:rFonts w:ascii="Times New Roman" w:eastAsiaTheme="minorHAnsi" w:hAnsi="Times New Roman"/>
                <w:b/>
              </w:rPr>
              <w:t>ejestru</w:t>
            </w:r>
            <w:r w:rsidRPr="000F4E41">
              <w:rPr>
                <w:rFonts w:ascii="Times New Roman" w:hAnsi="Times New Roman"/>
                <w:b/>
              </w:rPr>
              <w:t xml:space="preserve"> REGON</w:t>
            </w:r>
            <w:r w:rsidRPr="000F4E41">
              <w:rPr>
                <w:rFonts w:ascii="Times New Roman" w:hAnsi="Times New Roman"/>
              </w:rPr>
              <w:t xml:space="preserve">, w ust. 15 </w:t>
            </w:r>
            <w:r w:rsidRPr="000F4E41">
              <w:rPr>
                <w:rFonts w:ascii="Times New Roman" w:hAnsi="Times New Roman"/>
                <w:b/>
              </w:rPr>
              <w:t>o aktualizacji lub uzupełnieniu danych</w:t>
            </w:r>
            <w:r w:rsidRPr="000F4E41">
              <w:rPr>
                <w:rFonts w:ascii="Times New Roman" w:hAnsi="Times New Roman"/>
              </w:rPr>
              <w:t xml:space="preserve">, a w ust. 19 o </w:t>
            </w:r>
            <w:r w:rsidRPr="000F4E41">
              <w:rPr>
                <w:rFonts w:ascii="Times New Roman" w:hAnsi="Times New Roman"/>
                <w:b/>
              </w:rPr>
              <w:t>aktualizacji, uzupełnieniu, sprostowaniu i skreśleniu danych</w:t>
            </w:r>
            <w:r w:rsidRPr="000F4E41">
              <w:rPr>
                <w:rFonts w:ascii="Times New Roman" w:eastAsiaTheme="minorHAnsi" w:hAnsi="Times New Roman"/>
              </w:rPr>
              <w:t xml:space="preserve"> i informacji. </w:t>
            </w:r>
            <w:r w:rsidRPr="000F4E41">
              <w:rPr>
                <w:rFonts w:ascii="Times New Roman" w:hAnsi="Times New Roman"/>
                <w:b/>
              </w:rPr>
              <w:t>Niespójne wewnętrznie są przy tym dodawane przepisy art. 42 ust. 8a i 8b ustawy – ust. 8a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wymienia jedynie przykładowo („w szczególności”) ewidencje czy rejestry w oparciu o dane lub</w:t>
            </w:r>
          </w:p>
          <w:p w14:paraId="6695956E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informacje z których będzie dokonywana aktualizacja rejestru REGON, natomiast ust. 8b wymienia także inne ewidencje, których dane mogą być wykorzystywane dla potrzeb</w:t>
            </w:r>
          </w:p>
          <w:p w14:paraId="139291ED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aktualizacji rejestru REGON. </w:t>
            </w:r>
          </w:p>
          <w:p w14:paraId="78F4F953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Ponadto należy zauważyć, że </w:t>
            </w:r>
            <w:r w:rsidRPr="000F4E41">
              <w:rPr>
                <w:rFonts w:ascii="Times New Roman" w:hAnsi="Times New Roman"/>
                <w:b/>
              </w:rPr>
              <w:t>w projekcie jest uregulowana kwestia aktualizacji drugiego z rejestrów prowadzonych przez Prezesa Głównego Urzędu Statystycznego, tj. rejestru terytorialnego</w:t>
            </w:r>
            <w:r w:rsidRPr="000F4E41">
              <w:rPr>
                <w:rFonts w:ascii="Times New Roman" w:eastAsiaTheme="minorHAnsi" w:hAnsi="Times New Roman"/>
              </w:rPr>
              <w:t xml:space="preserve"> (dalej „rejestru TERYT”) – w dodawanych regulacjach art. 47a–47f ustawy, gdzie zastosowano schemat przepisu stanowiącego o </w:t>
            </w:r>
            <w:r w:rsidRPr="000F4E41">
              <w:rPr>
                <w:rFonts w:ascii="Times New Roman" w:hAnsi="Times New Roman"/>
                <w:b/>
              </w:rPr>
              <w:t>dokonywaniu z urzędu</w:t>
            </w:r>
            <w:r w:rsidRPr="000F4E41">
              <w:rPr>
                <w:rFonts w:ascii="Times New Roman" w:hAnsi="Times New Roman"/>
              </w:rPr>
              <w:t xml:space="preserve"> aktualizacji systemu</w:t>
            </w:r>
            <w:r w:rsidRPr="000F4E41">
              <w:rPr>
                <w:rFonts w:ascii="Times New Roman" w:eastAsiaTheme="minorHAnsi" w:hAnsi="Times New Roman"/>
              </w:rPr>
              <w:t xml:space="preserve"> objętego tym rejestrem na określonej podstawie. </w:t>
            </w:r>
            <w:r w:rsidRPr="000F4E41">
              <w:rPr>
                <w:rFonts w:ascii="Times New Roman" w:hAnsi="Times New Roman"/>
              </w:rPr>
              <w:t>Natomiast takiej regulacji brak w odniesieniu do aktualizacji rejestru REGON.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</w:p>
          <w:p w14:paraId="690DE940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związku z powyższym projektowana ustawa w omawianym zakresie wymaga ponownej analizy i uporządkowania oraz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uspójnienia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 zawartych w niej uregulowań.</w:t>
            </w:r>
          </w:p>
        </w:tc>
        <w:tc>
          <w:tcPr>
            <w:tcW w:w="5103" w:type="dxa"/>
          </w:tcPr>
          <w:p w14:paraId="17FF5172" w14:textId="38E437FD" w:rsidR="001C0A37" w:rsidRPr="000F4E41" w:rsidRDefault="001C0A37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2644B9E1" w14:textId="77777777" w:rsidR="001C0A37" w:rsidRPr="000F4E41" w:rsidRDefault="001C0A37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EE052F0" w14:textId="23DB378E" w:rsidR="0034761E" w:rsidRPr="005F423A" w:rsidRDefault="001C0A37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</w:rPr>
              <w:t>Zaproponowano nowe brzmienie art. 42a ustawy o statystyce publicznej</w:t>
            </w:r>
            <w:r w:rsidR="002B2608" w:rsidRPr="000F4E41">
              <w:rPr>
                <w:rFonts w:ascii="Times New Roman" w:hAnsi="Times New Roman"/>
              </w:rPr>
              <w:t xml:space="preserve"> (art. 1 pkt 13 projektu ustawy)</w:t>
            </w:r>
            <w:r w:rsidR="008A7027" w:rsidRPr="000F4E41">
              <w:rPr>
                <w:rFonts w:ascii="Times New Roman" w:hAnsi="Times New Roman"/>
              </w:rPr>
              <w:t>.</w:t>
            </w:r>
          </w:p>
          <w:p w14:paraId="671CB6D0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„Art. 42a. 1. Dane gromadzone w rejestrze REGON są aktualizowane na bieżąco na podstawie:</w:t>
            </w:r>
          </w:p>
          <w:p w14:paraId="539E29EB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1) danych oraz informacji przekazywanych z Centralnej Ewidencji i Informacji o Działalności Gospodarczej – w zakresie podmiotów wskazanych w art. 42 ust 7 pkt. 1;</w:t>
            </w:r>
          </w:p>
          <w:p w14:paraId="75BB0CD6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2) danych objętych treścią wpisu w Krajowym Rejestrze Sądowym oraz danych uzupełniających, o których mowa w art. 42 ust. 3a pkt 2, przekazywanych odpowiednio z Krajowego Rejestru Sądowego oraz z Centralnego Rejestru Podmiotów – Krajowej Ewidencji Podatników – w zakresie podmiotów wskazanych w art. 42 ust. 6a;</w:t>
            </w:r>
          </w:p>
          <w:p w14:paraId="23E8603C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3) danych przekazywanych z systemu informacji oświatowej – w zakresie podmiotów wskazanych w art. 42 ust 7 pkt 3;</w:t>
            </w:r>
          </w:p>
          <w:p w14:paraId="24C0A641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4) informacji z wniosków podmiotów gospodarki narodowej składanych do rejestru REGON w trybie określonym w art. 42 ust 5 i 6.</w:t>
            </w:r>
          </w:p>
          <w:p w14:paraId="0DB6D7E5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2. Dane gromadzone w rejestrze REGON są aktualizowane z urzędu na podstawie:</w:t>
            </w:r>
          </w:p>
          <w:p w14:paraId="3A851C39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1) danych przekazywanych z Centralnego Rejestru Podmiotów – Krajowej Ewidencji Podatników – w zakresie informacji o numerze identyfikacji podatkowej (NIP) oraz informacji o jego unieważnieniu lub uchyleniu;</w:t>
            </w:r>
          </w:p>
          <w:p w14:paraId="1F987ABF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2) danych z rejestru PESEL – w zakresie numeru PESEL, imion i nazwiska osoby fizycznej, na podstawie danych rejestru PESEL, o ile w danym przypadku jest to możliwe;</w:t>
            </w:r>
          </w:p>
          <w:p w14:paraId="37A9A22A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lastRenderedPageBreak/>
              <w:t>3) danych przekazywanych z systemów informacyjnych Zakładu Ubezpieczeń Społecznych – w zakresie informacji o liczbie pracujących;</w:t>
            </w:r>
          </w:p>
          <w:p w14:paraId="01BF089E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4) zmian w rejestrze TERYT – w zakresie adresu siedziby, adresu miejsca wykonywania działalności, miejsca zamieszkania i adresu do doręczeń, o ile w danym przypadku jest to możliwe;</w:t>
            </w:r>
          </w:p>
          <w:p w14:paraId="18BA4355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5) danych otrzymanych od organów prowadzących ewidencje, rejestry urzędowe lub sądowe albo ujawnionych w tych ewidencjach lub rejestrach;</w:t>
            </w:r>
          </w:p>
          <w:p w14:paraId="3CB5D49F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6) art. 40a ust. 3 – w przypadku zmian dotychczasowych przepisów wykonawczych wydanych na podstawie art. 40 ust. 2 w zakresie dotyczącym Polskiej Klasyfikacji Działalności;</w:t>
            </w:r>
          </w:p>
          <w:p w14:paraId="26AA9FD8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7) zmian szczególnych form prawnych podmiotów;</w:t>
            </w:r>
          </w:p>
          <w:p w14:paraId="7AC2F144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8) weryfikacji wpisów w zakresie dotyczącym prawidłowego zaklasyfikowania grup podmiotów:</w:t>
            </w:r>
          </w:p>
          <w:p w14:paraId="23AEA8B4" w14:textId="77777777" w:rsidR="0034761E" w:rsidRPr="005F423A" w:rsidRDefault="0034761E" w:rsidP="003431CC">
            <w:pPr>
              <w:spacing w:after="0" w:line="240" w:lineRule="auto"/>
              <w:ind w:left="708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a) według form prawnych lub form własności, lub</w:t>
            </w:r>
          </w:p>
          <w:p w14:paraId="7E8AC38C" w14:textId="77777777" w:rsidR="0034761E" w:rsidRPr="005F423A" w:rsidRDefault="0034761E" w:rsidP="003431CC">
            <w:pPr>
              <w:spacing w:after="0" w:line="240" w:lineRule="auto"/>
              <w:ind w:left="708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b) jako jednostek sektora finansów publicznych.</w:t>
            </w:r>
          </w:p>
          <w:p w14:paraId="2C7CE0F9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3. Wpis zostaje skreślony z rejestru REGON z urzędu w przypadku:</w:t>
            </w:r>
          </w:p>
          <w:p w14:paraId="4DCF87E6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1) wielokrotnego nadania numeru identyfikacyjnego REGON;</w:t>
            </w:r>
          </w:p>
          <w:p w14:paraId="2D9D5B6C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2) zgonu osoby fizycznej prowadzącej działalność gospodarczą niepodlegającą wpisowi do Centralnej Ewidencji i Informacji o Działalności Gospodarczej – na podstawie danych rejestru PESEL, a jeżeli osobie tej nie został nadany numer PESEL – na podstawie przekazanej wiarygodnej informacji o fakcie i dacie zgonu tej osoby fizycznej, wpisanej do rejestru REGON;</w:t>
            </w:r>
          </w:p>
          <w:p w14:paraId="08C9020C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3) skreślenia wpisu stowarzyszenia w wykazach stowarzyszeń nadzorowanych przez starostów lub prezydentów miast;</w:t>
            </w:r>
          </w:p>
          <w:p w14:paraId="22604899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4) zniesienia lub likwidacji podmiotu na podstawie odrębnych przepisów;</w:t>
            </w:r>
          </w:p>
          <w:p w14:paraId="62CDDEEF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lastRenderedPageBreak/>
              <w:t>5) niewpisania podmiotu do właściwej ewidencji lub rejestru, jeżeli wpis ten jest wymagany na podstawie odrębnych przepisów.</w:t>
            </w:r>
          </w:p>
          <w:p w14:paraId="0EEE705C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4. W przypadku określonym w ust. 3 pkt 1, urząd statystyczny, dokonuje skreślenia  w porozumieniu z  podmiotem, którego dany wpis dotyczy, o ile numer identyfikacyjny REGON istnieje już w obrocie gospodarczym.</w:t>
            </w:r>
          </w:p>
          <w:p w14:paraId="6C5944B9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5. Na wniosek osoby, która:</w:t>
            </w:r>
          </w:p>
          <w:p w14:paraId="37AE5C1A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1) przedstawi dowód posiadania tytułu prawnego do nieruchomości wskazanej we wpisie w rejestrze REGON, zostają skreślone z rejestru REGON dane adresowe tej nieruchomości; o ile podmiot wpisany do rejestru REGON nie dokona odpowiedniej zmiany wpisu;</w:t>
            </w:r>
          </w:p>
          <w:p w14:paraId="371024B1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2) uprawdopodobni rozporządzanie danymi, o których mowa w art. 42 ust. 3 pkt 10, zostają skreślone z rejestru REGON wskazane w tym wniosku dane kontaktowe podmiotu wpisanego do rejestru REGON.</w:t>
            </w:r>
          </w:p>
          <w:p w14:paraId="015C6C94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6. W przypadku, o którym mowa w ust. 5 pkt 1, urząd statystyczny wzywa podmiot wpisany do rejestru  do przedstawienia dowodu posiadania tytułu prawnego do nieruchomości lub dokonania odpowiedniej zmiany wpisu w tym zakresie, w terminie 7 dni od dnia doręczenia wezwania.</w:t>
            </w:r>
          </w:p>
          <w:p w14:paraId="51BE07D0" w14:textId="77777777" w:rsidR="0034761E" w:rsidRPr="005F423A" w:rsidRDefault="0034761E" w:rsidP="0034761E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7. Aktualizacja i skreślenie danych i informacji, o których mowa w ust. 1-5. następuje w formie czynności materialno-technicznej.</w:t>
            </w:r>
          </w:p>
          <w:p w14:paraId="092E6F5B" w14:textId="7451C9A7" w:rsidR="00AA3D19" w:rsidRPr="005F423A" w:rsidRDefault="0034761E" w:rsidP="003431C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5F423A">
              <w:rPr>
                <w:rFonts w:ascii="Times New Roman" w:hAnsi="Times New Roman"/>
                <w:i/>
              </w:rPr>
              <w:t>8. Aktualizacja i skreślenie danych i informacji, o których mowa w ust. 2, 3 i 5, nie mają zastosowania do cech aktualizowanych na podstawie danych przekazywanych z Centralnej Ewidencji i Informacji o Działalności Gospodarczej, Krajowego Rejestru Sądowego lub systemu informacji oświatowej.”</w:t>
            </w:r>
          </w:p>
        </w:tc>
      </w:tr>
      <w:bookmarkEnd w:id="1"/>
      <w:tr w:rsidR="009C1AEA" w:rsidRPr="000F4E41" w14:paraId="7D859857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2A57A485" w14:textId="77777777" w:rsidR="009C1AEA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10</w:t>
            </w:r>
            <w:r w:rsidR="009C1AEA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F4F5D93" w14:textId="77777777" w:rsidR="009C1AEA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22C5D9BF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10 lit. g oraz pkt 19 projektu</w:t>
            </w:r>
          </w:p>
          <w:p w14:paraId="1B3F4C48" w14:textId="77777777" w:rsidR="009C1AEA" w:rsidRPr="000F4E41" w:rsidRDefault="009C1AE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art. 42 ust. 8a i 15 oraz art. 47f ust. 3 </w:t>
            </w:r>
            <w:r w:rsidRPr="000F4E41">
              <w:rPr>
                <w:rFonts w:ascii="Times New Roman" w:hAnsi="Times New Roman"/>
              </w:rPr>
              <w:lastRenderedPageBreak/>
              <w:t>ustawy o statystyce publicznej)</w:t>
            </w:r>
          </w:p>
          <w:p w14:paraId="665E1C1A" w14:textId="77777777" w:rsidR="009C1AEA" w:rsidRPr="000F4E41" w:rsidRDefault="009C1AEA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43690941" w14:textId="77777777" w:rsidR="009C1AEA" w:rsidRPr="000F4E41" w:rsidRDefault="009C1AEA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lastRenderedPageBreak/>
              <w:t>Wyjaśnienia (i stosownego skorygowania bądź uzupełnienia projektu) wymaga nadal kwestia „</w:t>
            </w:r>
            <w:r w:rsidRPr="000F4E41">
              <w:rPr>
                <w:rFonts w:ascii="Times New Roman" w:hAnsi="Times New Roman"/>
                <w:b/>
              </w:rPr>
              <w:t>weryfikacji” wpisów w rejestrze REGON i „weryfikacji” systemów objętych rejestrem TERYT,</w:t>
            </w:r>
            <w:r w:rsidRPr="000F4E41">
              <w:rPr>
                <w:rFonts w:ascii="Times New Roman" w:eastAsiaTheme="minorHAnsi" w:hAnsi="Times New Roman"/>
              </w:rPr>
              <w:t xml:space="preserve"> do której nawiązują odpowiednio projektowane przepisy art. 42 ust. 8b i 15 oraz art. 47f ust. 3 </w:t>
            </w:r>
            <w:r w:rsidRPr="000F4E41">
              <w:rPr>
                <w:rFonts w:ascii="Times New Roman" w:eastAsiaTheme="minorHAnsi" w:hAnsi="Times New Roman"/>
              </w:rPr>
              <w:lastRenderedPageBreak/>
              <w:t xml:space="preserve">ustawy. Może budzić wątpliwości, </w:t>
            </w:r>
            <w:r w:rsidRPr="000F4E41">
              <w:rPr>
                <w:rFonts w:ascii="Times New Roman" w:hAnsi="Times New Roman"/>
                <w:b/>
              </w:rPr>
              <w:t xml:space="preserve">czy kompetencja organu do prowadzenia rejestru obejmuje kompetencję do weryfikacji wpisów w tym rejestrze </w:t>
            </w:r>
            <w:r w:rsidRPr="000F4E41">
              <w:rPr>
                <w:rFonts w:ascii="Times New Roman" w:eastAsiaTheme="minorHAnsi" w:hAnsi="Times New Roman"/>
              </w:rPr>
              <w:t xml:space="preserve">czy weryfikacji objętych nim systemów, gdyż </w:t>
            </w:r>
            <w:r w:rsidRPr="000F4E41">
              <w:rPr>
                <w:rFonts w:ascii="Times New Roman" w:hAnsi="Times New Roman"/>
              </w:rPr>
              <w:t xml:space="preserve">kompetencji organów nie można domniemywać, a </w:t>
            </w:r>
            <w:r w:rsidRPr="000F4E41">
              <w:rPr>
                <w:rFonts w:ascii="Times New Roman" w:hAnsi="Times New Roman"/>
                <w:b/>
              </w:rPr>
              <w:t>ustawa wprost takiej kompetencji nie wprowadza.</w:t>
            </w:r>
            <w:r w:rsidRPr="000F4E41">
              <w:rPr>
                <w:rFonts w:ascii="Times New Roman" w:eastAsiaTheme="minorHAnsi" w:hAnsi="Times New Roman"/>
              </w:rPr>
              <w:t xml:space="preserve"> Nadto ustawa nie rozstrzyga, na czym ma polegać taka weryfikacja ani na jakich zasadach ma być dokonywana.</w:t>
            </w:r>
          </w:p>
        </w:tc>
        <w:tc>
          <w:tcPr>
            <w:tcW w:w="5103" w:type="dxa"/>
          </w:tcPr>
          <w:p w14:paraId="2F94ED76" w14:textId="64649601" w:rsidR="00277C4D" w:rsidRPr="000F4E41" w:rsidRDefault="00277C4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2" w:name="_Hlk164414495"/>
            <w:r w:rsidRPr="000F4E41">
              <w:rPr>
                <w:rFonts w:ascii="Times New Roman" w:hAnsi="Times New Roman"/>
                <w:b/>
              </w:rPr>
              <w:lastRenderedPageBreak/>
              <w:t>Wyjaśnienie</w:t>
            </w:r>
          </w:p>
          <w:p w14:paraId="01DB8D58" w14:textId="77777777" w:rsidR="00226BAC" w:rsidRPr="000F4E41" w:rsidRDefault="00226BAC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7F66A274" w14:textId="67EFAC61" w:rsidR="00642F2C" w:rsidRPr="000F4E41" w:rsidRDefault="00277C4D" w:rsidP="007214C3">
            <w:pPr>
              <w:spacing w:after="0" w:line="240" w:lineRule="auto"/>
              <w:rPr>
                <w:rFonts w:ascii="Times New Roman" w:hAnsi="Times New Roman"/>
                <w:highlight w:val="yellow"/>
                <w:u w:val="single"/>
              </w:rPr>
            </w:pPr>
            <w:r w:rsidRPr="000F4E41">
              <w:rPr>
                <w:rFonts w:ascii="Times New Roman" w:hAnsi="Times New Roman"/>
                <w:u w:val="single"/>
              </w:rPr>
              <w:t>W zakresie rejestru REGON</w:t>
            </w:r>
          </w:p>
          <w:p w14:paraId="1F732D23" w14:textId="4B3AA84A" w:rsidR="005C4BDA" w:rsidRPr="000F4E41" w:rsidRDefault="005C4BD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 xml:space="preserve">Zgodnie z ustawą </w:t>
            </w:r>
            <w:r w:rsidR="00130AAA" w:rsidRPr="000F4E41">
              <w:rPr>
                <w:rFonts w:ascii="Times New Roman" w:hAnsi="Times New Roman"/>
              </w:rPr>
              <w:t xml:space="preserve">o statystyce publicznej </w:t>
            </w:r>
            <w:r w:rsidRPr="000F4E41">
              <w:rPr>
                <w:rFonts w:ascii="Times New Roman" w:hAnsi="Times New Roman"/>
              </w:rPr>
              <w:t>wpisowi do rejestru REGON podlegają podmioty w zakresie</w:t>
            </w:r>
            <w:r w:rsidR="00226BAC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informacji wskazanych w art. 42 ust 3.</w:t>
            </w:r>
          </w:p>
          <w:p w14:paraId="209747E5" w14:textId="508016DA" w:rsidR="00277C4D" w:rsidRPr="000F4E41" w:rsidRDefault="003B2425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Podmioty składają do rejestru wnioski o </w:t>
            </w:r>
            <w:r w:rsidRPr="000F4E41">
              <w:rPr>
                <w:rFonts w:ascii="Times New Roman" w:hAnsi="Times New Roman"/>
                <w:b/>
              </w:rPr>
              <w:t>wpis, zmianę cech objętych wpisem lub skreślenie</w:t>
            </w:r>
            <w:r w:rsidRPr="000F4E41">
              <w:rPr>
                <w:rFonts w:ascii="Times New Roman" w:hAnsi="Times New Roman"/>
              </w:rPr>
              <w:t xml:space="preserve"> w trybach wskazanych ustawą (wniosek składa się do urzędu statystycznego lub za pośrednictwem KRS, CEIDG, RSPO).</w:t>
            </w:r>
            <w:r w:rsidR="00277C4D" w:rsidRPr="000F4E41">
              <w:rPr>
                <w:rFonts w:ascii="Times New Roman" w:hAnsi="Times New Roman"/>
              </w:rPr>
              <w:t xml:space="preserve"> Rozporządzenie </w:t>
            </w:r>
            <w:r w:rsidR="00B24770" w:rsidRPr="000F4E41">
              <w:rPr>
                <w:rFonts w:ascii="Times New Roman" w:hAnsi="Times New Roman"/>
                <w:iCs/>
              </w:rPr>
              <w:t xml:space="preserve">Rady Ministrów z dnia 30 listopada 2015 r. w sprawie sposobu i metodologii prowadzenia i aktualizacji krajowego rejestru urzędowego podmiotów gospodarki narodowej, wzorów wniosków, ankiet i zaświadczeń (Dz. U. poz. 2009, z </w:t>
            </w:r>
            <w:proofErr w:type="spellStart"/>
            <w:r w:rsidR="00B24770" w:rsidRPr="000F4E41">
              <w:rPr>
                <w:rFonts w:ascii="Times New Roman" w:hAnsi="Times New Roman"/>
                <w:iCs/>
              </w:rPr>
              <w:t>późn</w:t>
            </w:r>
            <w:proofErr w:type="spellEnd"/>
            <w:r w:rsidR="00B24770" w:rsidRPr="000F4E41">
              <w:rPr>
                <w:rFonts w:ascii="Times New Roman" w:hAnsi="Times New Roman"/>
                <w:iCs/>
              </w:rPr>
              <w:t>. zm.), dalej: „rozporządzenie w sprawie rejestru REGON”</w:t>
            </w:r>
            <w:r w:rsidR="00277C4D" w:rsidRPr="000F4E41">
              <w:rPr>
                <w:rFonts w:ascii="Times New Roman" w:hAnsi="Times New Roman"/>
              </w:rPr>
              <w:t xml:space="preserve"> wskazuje w § 2 podstawy aktualizacji rejestru w zakresie wpisu informacji, zmiany informacji objętych wpisem oraz skreślenia informacji</w:t>
            </w:r>
            <w:r w:rsidR="00367971" w:rsidRPr="000F4E41">
              <w:rPr>
                <w:rFonts w:ascii="Times New Roman" w:hAnsi="Times New Roman"/>
              </w:rPr>
              <w:t xml:space="preserve">. Podstawy te obejmują </w:t>
            </w:r>
            <w:r w:rsidR="00733D65" w:rsidRPr="000F4E41">
              <w:rPr>
                <w:rFonts w:ascii="Times New Roman" w:hAnsi="Times New Roman"/>
              </w:rPr>
              <w:t>obecnie możliwość zmiany danych  w rejestrze na podstawie zmian w PKD, w TERYT</w:t>
            </w:r>
            <w:r w:rsidR="00367971" w:rsidRPr="000F4E41">
              <w:rPr>
                <w:rFonts w:ascii="Times New Roman" w:hAnsi="Times New Roman"/>
              </w:rPr>
              <w:t>.</w:t>
            </w:r>
            <w:r w:rsidR="00733D65" w:rsidRPr="000F4E41">
              <w:rPr>
                <w:rFonts w:ascii="Times New Roman" w:hAnsi="Times New Roman"/>
              </w:rPr>
              <w:t xml:space="preserve"> </w:t>
            </w:r>
          </w:p>
          <w:p w14:paraId="66ADEE29" w14:textId="77777777" w:rsidR="00277C4D" w:rsidRPr="000F4E41" w:rsidRDefault="00277C4D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19E4F53" w14:textId="77777777" w:rsidR="002B2608" w:rsidRPr="000F4E41" w:rsidRDefault="00733D65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Wobec zgłoszonych zastrzeżeń </w:t>
            </w:r>
            <w:r w:rsidR="00367971" w:rsidRPr="000F4E41">
              <w:rPr>
                <w:rFonts w:ascii="Times New Roman" w:hAnsi="Times New Roman"/>
              </w:rPr>
              <w:t>(</w:t>
            </w:r>
            <w:r w:rsidRPr="000F4E41">
              <w:rPr>
                <w:rFonts w:ascii="Times New Roman" w:hAnsi="Times New Roman"/>
              </w:rPr>
              <w:t>uwaga nr 9</w:t>
            </w:r>
            <w:r w:rsidR="00367971" w:rsidRPr="000F4E41">
              <w:rPr>
                <w:rFonts w:ascii="Times New Roman" w:hAnsi="Times New Roman"/>
              </w:rPr>
              <w:t>)</w:t>
            </w:r>
            <w:r w:rsidRPr="000F4E41">
              <w:rPr>
                <w:rFonts w:ascii="Times New Roman" w:hAnsi="Times New Roman"/>
              </w:rPr>
              <w:t xml:space="preserve"> zaproponowan</w:t>
            </w:r>
            <w:r w:rsidR="004E5E8E" w:rsidRPr="000F4E41">
              <w:rPr>
                <w:rFonts w:ascii="Times New Roman" w:hAnsi="Times New Roman"/>
              </w:rPr>
              <w:t xml:space="preserve">e </w:t>
            </w:r>
            <w:r w:rsidR="00263DC1" w:rsidRPr="000F4E41">
              <w:rPr>
                <w:rFonts w:ascii="Times New Roman" w:hAnsi="Times New Roman"/>
              </w:rPr>
              <w:t>zostało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4E5E8E" w:rsidRPr="000F4E41">
              <w:rPr>
                <w:rFonts w:ascii="Times New Roman" w:hAnsi="Times New Roman"/>
              </w:rPr>
              <w:t xml:space="preserve">nowe brzmienie </w:t>
            </w:r>
            <w:r w:rsidR="00263DC1" w:rsidRPr="000F4E41">
              <w:rPr>
                <w:rFonts w:ascii="Times New Roman" w:hAnsi="Times New Roman"/>
              </w:rPr>
              <w:t xml:space="preserve">omawianej grupy </w:t>
            </w:r>
            <w:r w:rsidR="004E5E8E" w:rsidRPr="000F4E41">
              <w:rPr>
                <w:rFonts w:ascii="Times New Roman" w:hAnsi="Times New Roman"/>
              </w:rPr>
              <w:t>przepisów</w:t>
            </w:r>
            <w:r w:rsidR="00263DC1" w:rsidRPr="000F4E41">
              <w:rPr>
                <w:rFonts w:ascii="Times New Roman" w:hAnsi="Times New Roman"/>
              </w:rPr>
              <w:t xml:space="preserve"> – zostały one zawarte w art. 42a ustawy o statystyce publicznej</w:t>
            </w:r>
            <w:r w:rsidR="002B2608" w:rsidRPr="000F4E41">
              <w:rPr>
                <w:rFonts w:ascii="Times New Roman" w:hAnsi="Times New Roman"/>
              </w:rPr>
              <w:t xml:space="preserve"> (art. 1 pkt 13 projektu ustawy). </w:t>
            </w:r>
          </w:p>
          <w:p w14:paraId="4F5AFE1D" w14:textId="5AED0323" w:rsidR="00263DC1" w:rsidRPr="000F4E41" w:rsidRDefault="00263DC1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Jednocześnie w art. 42 zrezygnowano z dodawania ust. 8a, 8b oraz ust. 15-21.</w:t>
            </w:r>
          </w:p>
          <w:p w14:paraId="0D9A2982" w14:textId="77777777" w:rsidR="00263DC1" w:rsidRPr="000F4E41" w:rsidRDefault="00263DC1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5F0D7C" w14:textId="1F9AC8CB" w:rsidR="002529D8" w:rsidRPr="000F4E41" w:rsidRDefault="002529D8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Biorąc pod uwagę kompetencje Prezesa GUS w zakresie prowadzenia rejestru REGON</w:t>
            </w:r>
            <w:r w:rsidR="00263DC1" w:rsidRPr="000F4E41">
              <w:rPr>
                <w:rFonts w:ascii="Times New Roman" w:hAnsi="Times New Roman"/>
              </w:rPr>
              <w:t xml:space="preserve">, </w:t>
            </w:r>
            <w:r w:rsidRPr="000F4E41">
              <w:rPr>
                <w:rFonts w:ascii="Times New Roman" w:hAnsi="Times New Roman"/>
              </w:rPr>
              <w:t xml:space="preserve">wynikające </w:t>
            </w:r>
            <w:r w:rsidR="00263DC1" w:rsidRPr="000F4E41">
              <w:rPr>
                <w:rFonts w:ascii="Times New Roman" w:hAnsi="Times New Roman"/>
              </w:rPr>
              <w:t xml:space="preserve">w szczególności </w:t>
            </w:r>
            <w:r w:rsidRPr="000F4E41">
              <w:rPr>
                <w:rFonts w:ascii="Times New Roman" w:hAnsi="Times New Roman"/>
              </w:rPr>
              <w:t>z art. 25 ust. 1 pkt 10 i art. 41</w:t>
            </w:r>
            <w:r w:rsidR="00263DC1" w:rsidRPr="000F4E41">
              <w:rPr>
                <w:rFonts w:ascii="Times New Roman" w:hAnsi="Times New Roman"/>
              </w:rPr>
              <w:t xml:space="preserve"> ustawy o statystyce publicznej</w:t>
            </w:r>
            <w:r w:rsidRPr="000F4E41">
              <w:rPr>
                <w:rFonts w:ascii="Times New Roman" w:hAnsi="Times New Roman"/>
              </w:rPr>
              <w:t xml:space="preserve">, </w:t>
            </w:r>
            <w:r w:rsidR="00263DC1" w:rsidRPr="000F4E41">
              <w:rPr>
                <w:rFonts w:ascii="Times New Roman" w:hAnsi="Times New Roman"/>
              </w:rPr>
              <w:t xml:space="preserve">dają </w:t>
            </w:r>
            <w:r w:rsidR="002410B5" w:rsidRPr="000F4E41">
              <w:rPr>
                <w:rFonts w:ascii="Times New Roman" w:hAnsi="Times New Roman"/>
              </w:rPr>
              <w:t xml:space="preserve">one </w:t>
            </w:r>
            <w:r w:rsidR="00263DC1" w:rsidRPr="000F4E41">
              <w:rPr>
                <w:rFonts w:ascii="Times New Roman" w:hAnsi="Times New Roman"/>
              </w:rPr>
              <w:t>możliwość</w:t>
            </w:r>
            <w:r w:rsidRPr="000F4E41">
              <w:rPr>
                <w:rFonts w:ascii="Times New Roman" w:hAnsi="Times New Roman"/>
              </w:rPr>
              <w:t xml:space="preserve"> aktualizacji</w:t>
            </w:r>
            <w:r w:rsidR="00263DC1" w:rsidRPr="000F4E41">
              <w:rPr>
                <w:rFonts w:ascii="Times New Roman" w:hAnsi="Times New Roman"/>
              </w:rPr>
              <w:t xml:space="preserve"> rejestru REGON, w tym </w:t>
            </w:r>
            <w:r w:rsidRPr="000F4E41">
              <w:rPr>
                <w:rFonts w:ascii="Times New Roman" w:hAnsi="Times New Roman"/>
              </w:rPr>
              <w:t>skreśleń z urzędu</w:t>
            </w:r>
            <w:r w:rsidR="00263DC1" w:rsidRPr="000F4E41">
              <w:rPr>
                <w:rFonts w:ascii="Times New Roman" w:hAnsi="Times New Roman"/>
              </w:rPr>
              <w:t xml:space="preserve"> i </w:t>
            </w:r>
            <w:r w:rsidRPr="000F4E41">
              <w:rPr>
                <w:rFonts w:ascii="Times New Roman" w:hAnsi="Times New Roman"/>
              </w:rPr>
              <w:t>sprostowań</w:t>
            </w:r>
            <w:r w:rsidR="00263DC1" w:rsidRPr="000F4E41">
              <w:rPr>
                <w:rFonts w:ascii="Times New Roman" w:hAnsi="Times New Roman"/>
              </w:rPr>
              <w:t xml:space="preserve"> w omawianym rejestrze.</w:t>
            </w:r>
          </w:p>
          <w:p w14:paraId="70114CED" w14:textId="77777777" w:rsidR="00513553" w:rsidRPr="000F4E41" w:rsidRDefault="00513553" w:rsidP="007214C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  <w:p w14:paraId="4BB6FEAF" w14:textId="4E4CB6E5" w:rsidR="00B11B6D" w:rsidRPr="000F4E41" w:rsidRDefault="00B11B6D" w:rsidP="007214C3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  <w:r w:rsidRPr="000F4E41">
              <w:rPr>
                <w:rFonts w:ascii="Times New Roman" w:hAnsi="Times New Roman"/>
                <w:u w:val="single"/>
              </w:rPr>
              <w:t>W zakresie rejestru TERYT</w:t>
            </w:r>
          </w:p>
          <w:p w14:paraId="465558D0" w14:textId="7A1623D9" w:rsidR="00B11B6D" w:rsidRPr="000F4E41" w:rsidRDefault="00B11B6D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7A5370">
              <w:rPr>
                <w:rFonts w:ascii="Times New Roman" w:hAnsi="Times New Roman"/>
              </w:rPr>
              <w:t xml:space="preserve">Po uwagach RCL zgłoszonych </w:t>
            </w:r>
            <w:r w:rsidR="007A5370" w:rsidRPr="007A5370">
              <w:rPr>
                <w:rFonts w:ascii="Times New Roman" w:hAnsi="Times New Roman"/>
              </w:rPr>
              <w:t xml:space="preserve">w trakcie uzgodnień międzyresortowych </w:t>
            </w:r>
            <w:r w:rsidR="003431CC" w:rsidRPr="007A5370">
              <w:rPr>
                <w:rFonts w:ascii="Times New Roman" w:hAnsi="Times New Roman"/>
              </w:rPr>
              <w:t>do</w:t>
            </w:r>
            <w:r w:rsidR="007A5370" w:rsidRPr="007A5370">
              <w:rPr>
                <w:rFonts w:ascii="Times New Roman" w:hAnsi="Times New Roman"/>
              </w:rPr>
              <w:t>tyczących</w:t>
            </w:r>
            <w:r w:rsidR="003431CC" w:rsidRPr="007A5370">
              <w:rPr>
                <w:rFonts w:ascii="Times New Roman" w:hAnsi="Times New Roman"/>
              </w:rPr>
              <w:t xml:space="preserve"> projektu ustawy o zmianie ustawy o statystyce publicznej (numer UD474 w Wykazie </w:t>
            </w:r>
            <w:r w:rsidR="003431CC" w:rsidRPr="007A5370">
              <w:rPr>
                <w:rFonts w:ascii="Times New Roman" w:hAnsi="Times New Roman"/>
                <w:color w:val="333333"/>
              </w:rPr>
              <w:t xml:space="preserve">prac legislacyjnych i programowych Rady </w:t>
            </w:r>
            <w:r w:rsidR="003431CC" w:rsidRPr="007A5370">
              <w:rPr>
                <w:rFonts w:ascii="Times New Roman" w:hAnsi="Times New Roman"/>
                <w:color w:val="333333"/>
              </w:rPr>
              <w:lastRenderedPageBreak/>
              <w:t>Ministrów obowiązującym do dnia 27 listopada 2023 r.)</w:t>
            </w:r>
            <w:r w:rsidR="003431CC" w:rsidRPr="007A5370">
              <w:rPr>
                <w:rFonts w:ascii="Times New Roman" w:eastAsia="Times New Roman" w:hAnsi="Times New Roman"/>
                <w:color w:val="333333"/>
              </w:rPr>
              <w:t xml:space="preserve"> </w:t>
            </w:r>
            <w:r w:rsidRPr="007A5370">
              <w:rPr>
                <w:rFonts w:ascii="Times New Roman" w:hAnsi="Times New Roman"/>
              </w:rPr>
              <w:t>dokonano przeredagowania przepisów w zakresie odnoszącym się do rejestru TERYT. W</w:t>
            </w:r>
            <w:r w:rsidRPr="000F4E41">
              <w:rPr>
                <w:rFonts w:ascii="Times New Roman" w:hAnsi="Times New Roman"/>
              </w:rPr>
              <w:t xml:space="preserve"> zaproponowanych nowych przepisach sformułowanie „</w:t>
            </w:r>
            <w:r w:rsidRPr="000F4E41">
              <w:rPr>
                <w:rFonts w:ascii="Times New Roman" w:hAnsi="Times New Roman"/>
                <w:i/>
              </w:rPr>
              <w:t>weryfikacja systemów objętych rejestrem TERYT</w:t>
            </w:r>
            <w:r w:rsidRPr="000F4E41">
              <w:rPr>
                <w:rFonts w:ascii="Times New Roman" w:hAnsi="Times New Roman"/>
              </w:rPr>
              <w:t>” zostało zastąpione określeniem „</w:t>
            </w:r>
            <w:r w:rsidRPr="000F4E41">
              <w:rPr>
                <w:rFonts w:ascii="Times New Roman" w:hAnsi="Times New Roman"/>
                <w:i/>
              </w:rPr>
              <w:t>weryfikacja danych zgromadzonych w systemach rejestru TERYT</w:t>
            </w:r>
            <w:r w:rsidRPr="000F4E41">
              <w:rPr>
                <w:rFonts w:ascii="Times New Roman" w:hAnsi="Times New Roman"/>
              </w:rPr>
              <w:t>”, gdyż użyte w pierwotnej wersji sformułowanie w intencji projektodawcy oznaczało weryfikację danych w tych systemach, a nie samych systemów. Z tego też względu w projekcie ustawy przekazan</w:t>
            </w:r>
            <w:r w:rsidR="00484935" w:rsidRPr="000F4E41">
              <w:rPr>
                <w:rFonts w:ascii="Times New Roman" w:hAnsi="Times New Roman"/>
              </w:rPr>
              <w:t>ym</w:t>
            </w:r>
            <w:r w:rsidRPr="000F4E41">
              <w:rPr>
                <w:rFonts w:ascii="Times New Roman" w:hAnsi="Times New Roman"/>
              </w:rPr>
              <w:t xml:space="preserve"> do uzgodnień w lutym 2024 r. zawarto nową propozycją brzmienia przepisów ust. 3 i 4 w art. 47f. W związku ze zgłoszoną obecnie uwagą przepis zostanie doprecyzowany. </w:t>
            </w:r>
          </w:p>
          <w:p w14:paraId="533D0A37" w14:textId="06AE216A" w:rsidR="00B11B6D" w:rsidRPr="000F4E41" w:rsidRDefault="00B11B6D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Jak zaznaczono w tabeli zestawienia uwag zgłoszonych w ramach uzgodnień międzyresortowych do projektu przekazanego do uzgodnień w styczniu 2023 r., intencją przepisu było zapewnienie podstawy prawnej do działań polegających na wyeliminowaniu błędnych informacji i uzupełnieniu braków w systemach rejestru </w:t>
            </w:r>
            <w:r w:rsidR="00854B98" w:rsidRPr="000F4E41">
              <w:rPr>
                <w:rFonts w:ascii="Times New Roman" w:hAnsi="Times New Roman"/>
              </w:rPr>
              <w:t>TERYT</w:t>
            </w:r>
            <w:r w:rsidRPr="000F4E41">
              <w:rPr>
                <w:rFonts w:ascii="Times New Roman" w:hAnsi="Times New Roman"/>
              </w:rPr>
              <w:t>. Biorąc pod uwagę kompetencje Prezesa GUS w zakresie prowadzenia rejestru TERYT wynikające z art. 25 ust. 1 pkt 10 i art. 41</w:t>
            </w:r>
            <w:r w:rsidR="007845E8" w:rsidRPr="000F4E41">
              <w:rPr>
                <w:rFonts w:ascii="Times New Roman" w:hAnsi="Times New Roman"/>
              </w:rPr>
              <w:t xml:space="preserve"> ustawy z dnia 29 czerwca 1995 r. o statystyce publicznej</w:t>
            </w:r>
            <w:r w:rsidRPr="000F4E41">
              <w:rPr>
                <w:rFonts w:ascii="Times New Roman" w:hAnsi="Times New Roman"/>
              </w:rPr>
              <w:t>, w opinii projektodawcy ww. przepisy dotyczące możliwości weryfikacji/sprostowania /poprawy błędów nie wykraczają poza zakres jego działania. Weryfikacja danych, rozumiana jako porównanie danych zgromadzonych w rejestrze ze źródłami wymienionymi w ust. 3, jest działaniem realizowanym w ramach prowadzenia i aktualizacji rejestru, umożliwiającym zapewnienie właściwej jego aktualności, kompletności i jakości.</w:t>
            </w:r>
          </w:p>
          <w:p w14:paraId="67BDB3F9" w14:textId="77777777" w:rsidR="00B11B6D" w:rsidRPr="000F4E41" w:rsidRDefault="00B11B6D" w:rsidP="007214C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  <w:p w14:paraId="14E37CF7" w14:textId="2C3C8696" w:rsidR="00B11B6D" w:rsidRPr="000F4E41" w:rsidRDefault="007214C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Proponuje się następujące brzmienie ust. 3-6 </w:t>
            </w:r>
            <w:bookmarkStart w:id="3" w:name="_Hlk164415030"/>
            <w:r w:rsidRPr="000F4E41">
              <w:rPr>
                <w:rFonts w:ascii="Times New Roman" w:hAnsi="Times New Roman"/>
              </w:rPr>
              <w:t xml:space="preserve">w  art. 47f </w:t>
            </w:r>
            <w:bookmarkEnd w:id="3"/>
            <w:r w:rsidRPr="000F4E41">
              <w:rPr>
                <w:rFonts w:ascii="Times New Roman" w:hAnsi="Times New Roman"/>
              </w:rPr>
              <w:t>ustawy o statystyce publicznej</w:t>
            </w:r>
            <w:r w:rsidR="002B2608" w:rsidRPr="000F4E41">
              <w:rPr>
                <w:rFonts w:ascii="Times New Roman" w:hAnsi="Times New Roman"/>
              </w:rPr>
              <w:t xml:space="preserve"> (art. 1 pkt 20 projektu ustawy):</w:t>
            </w:r>
          </w:p>
          <w:p w14:paraId="75CD3D1D" w14:textId="1F9FDCCB" w:rsidR="007214C3" w:rsidRPr="000F4E41" w:rsidRDefault="007214C3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bookmarkStart w:id="4" w:name="_Hlk164414977"/>
            <w:r w:rsidRPr="000F4E41">
              <w:rPr>
                <w:rFonts w:ascii="Times New Roman" w:hAnsi="Times New Roman"/>
                <w:i/>
              </w:rPr>
              <w:t>„3. Dane zgromadzone w systemach rejestru TERYT są weryfikowane na bieżąco.</w:t>
            </w:r>
          </w:p>
          <w:p w14:paraId="5DAE68DC" w14:textId="5C3AD925" w:rsidR="007214C3" w:rsidRPr="000F4E41" w:rsidRDefault="007214C3" w:rsidP="006602F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lastRenderedPageBreak/>
              <w:t xml:space="preserve">Weryfikacja, o której mowa w ust. 3, polega na porównaniu danych zgromadzonych w rejestrze </w:t>
            </w:r>
            <w:r w:rsidR="00D01AF0" w:rsidRPr="000F4E41">
              <w:rPr>
                <w:rFonts w:ascii="Times New Roman" w:hAnsi="Times New Roman"/>
                <w:i/>
              </w:rPr>
              <w:t xml:space="preserve">TERYT </w:t>
            </w:r>
            <w:r w:rsidRPr="000F4E41">
              <w:rPr>
                <w:rFonts w:ascii="Times New Roman" w:hAnsi="Times New Roman"/>
                <w:i/>
              </w:rPr>
              <w:t>ze źródłami, o których mowa w art. 47a ust. 3, art. 47b ust. 3, art. 47c ust. 2, art. 47d ust. 3 i art. 47e ust. 3.</w:t>
            </w:r>
          </w:p>
          <w:p w14:paraId="06F9AC59" w14:textId="77777777" w:rsidR="007214C3" w:rsidRPr="000F4E41" w:rsidRDefault="007214C3" w:rsidP="006602F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Niezgodności stwierdzone w wyniku tej weryfikacji podlegają sprostowaniu z urzędu w trybie aktualizacji systemów.</w:t>
            </w:r>
          </w:p>
          <w:p w14:paraId="193ABD87" w14:textId="5ED946CA" w:rsidR="00277C4D" w:rsidRPr="000F4E41" w:rsidRDefault="007214C3" w:rsidP="006602FF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Aktualizacja danych zgromadzonych w systemach rejestru TERYT jest dokonywana z urzędu również w przypadku rozbieżności z innymi rejestrami urzędowymi, które wskazują na konieczność ich sprostowania w rejestrze TERYT</w:t>
            </w:r>
            <w:r w:rsidRPr="000F4E41">
              <w:rPr>
                <w:rFonts w:ascii="Times New Roman" w:hAnsi="Times New Roman"/>
              </w:rPr>
              <w:t>.”.</w:t>
            </w:r>
            <w:bookmarkEnd w:id="2"/>
            <w:bookmarkEnd w:id="4"/>
          </w:p>
        </w:tc>
      </w:tr>
      <w:tr w:rsidR="00AC7485" w:rsidRPr="000F4E41" w14:paraId="2F9E1EB1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9323992" w14:textId="77777777" w:rsidR="00AC7485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5" w:name="_Hlk163454736"/>
            <w:r w:rsidRPr="000F4E41">
              <w:rPr>
                <w:rFonts w:ascii="Times New Roman" w:hAnsi="Times New Roman"/>
              </w:rPr>
              <w:lastRenderedPageBreak/>
              <w:t>11</w:t>
            </w:r>
            <w:r w:rsidR="00AC7485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6D7422B" w14:textId="77777777" w:rsidR="00AC7485" w:rsidRPr="000F4E41" w:rsidRDefault="00AC7485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6B126B4C" w14:textId="77777777" w:rsidR="00AC7485" w:rsidRPr="000F4E41" w:rsidRDefault="00AC7485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10 lit. j projektu</w:t>
            </w:r>
          </w:p>
          <w:p w14:paraId="3CAB303B" w14:textId="77777777" w:rsidR="00AC7485" w:rsidRPr="000F4E41" w:rsidRDefault="00AC7485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42 ust. 17-21 ustawy o statystyce publicznej)</w:t>
            </w:r>
          </w:p>
          <w:p w14:paraId="0E661763" w14:textId="77777777" w:rsidR="00AC7485" w:rsidRPr="000F4E41" w:rsidRDefault="00AC7485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7D9BDD2B" w14:textId="77777777" w:rsidR="00AC7485" w:rsidRPr="000F4E41" w:rsidRDefault="00AC7485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dalszym ciągu wątpliwości budzą dodawane ust. 17-21 w art. 42 ustawy w zakresie dotyczącym </w:t>
            </w:r>
            <w:r w:rsidRPr="000F4E41">
              <w:rPr>
                <w:rFonts w:ascii="Times New Roman" w:hAnsi="Times New Roman"/>
                <w:b/>
              </w:rPr>
              <w:t>skreślenia z urzędu wpisu podmiotu w rejestrze REGON lub danych wpisanych do tego rejestru</w:t>
            </w:r>
            <w:r w:rsidRPr="000F4E41">
              <w:rPr>
                <w:rFonts w:ascii="Times New Roman" w:eastAsiaTheme="minorHAnsi" w:hAnsi="Times New Roman"/>
              </w:rPr>
              <w:t xml:space="preserve"> oraz </w:t>
            </w:r>
            <w:r w:rsidRPr="000F4E41">
              <w:rPr>
                <w:rFonts w:ascii="Times New Roman" w:hAnsi="Times New Roman"/>
                <w:b/>
              </w:rPr>
              <w:t>skreślenia niektórych danych na wniosek</w:t>
            </w:r>
            <w:r w:rsidRPr="000F4E41">
              <w:rPr>
                <w:rFonts w:ascii="Times New Roman" w:eastAsiaTheme="minorHAnsi" w:hAnsi="Times New Roman"/>
              </w:rPr>
              <w:t>. Należy zauważyć, że:</w:t>
            </w:r>
          </w:p>
          <w:p w14:paraId="5F80C144" w14:textId="77777777" w:rsidR="00AC7485" w:rsidRPr="000F4E41" w:rsidRDefault="00AC7485" w:rsidP="007214C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ust. 19 tego artykułu rozstrzyga, że skreślenie danych i informacji „następuje w formie czynności materialno-technicznej”, co oznacza, że skreślenie następuje bez wydania decyzji, która podlegałaby kontroli administracyjnej lub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sądowoadministracyjnej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. </w:t>
            </w:r>
            <w:r w:rsidRPr="000F4E41">
              <w:rPr>
                <w:rFonts w:ascii="Times New Roman" w:hAnsi="Times New Roman"/>
              </w:rPr>
              <w:t xml:space="preserve">Przyjęcie takiego rozwiązania wymaga pogłębionego uzasadnienia uwzględniającego skutki prawne dokonanego </w:t>
            </w:r>
            <w:r w:rsidRPr="000F4E41">
              <w:rPr>
                <w:rFonts w:ascii="Times New Roman" w:hAnsi="Times New Roman"/>
                <w:b/>
              </w:rPr>
              <w:t>skreślenia dla podmiotu, którego dotyczyłoby skreślenie (a który podlega obowiązkowi wpisu).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 xml:space="preserve">Ponadto należy także zwrócić uwagę, że </w:t>
            </w:r>
            <w:r w:rsidRPr="000F4E41">
              <w:rPr>
                <w:rFonts w:ascii="Times New Roman" w:hAnsi="Times New Roman"/>
                <w:b/>
              </w:rPr>
              <w:t xml:space="preserve">przy sprostowaniu z urzędu wpisu, który jest „niezgodny ze stanem faktycznym”, </w:t>
            </w:r>
            <w:r w:rsidRPr="000F4E41">
              <w:rPr>
                <w:rFonts w:ascii="Times New Roman" w:hAnsi="Times New Roman"/>
              </w:rPr>
              <w:t xml:space="preserve">zachodzi konieczność przeprowadzenia chociażby jakiegoś postępowania wyjaśniającego weryfikującego te przesłankę, a to już </w:t>
            </w:r>
            <w:r w:rsidRPr="000F4E41">
              <w:rPr>
                <w:rFonts w:ascii="Times New Roman" w:hAnsi="Times New Roman"/>
                <w:b/>
              </w:rPr>
              <w:t>wykracza poza czynność materialno-techniczną;</w:t>
            </w:r>
          </w:p>
          <w:p w14:paraId="69833746" w14:textId="335B0030" w:rsidR="00AC7485" w:rsidRPr="000F4E41" w:rsidRDefault="00AC7485" w:rsidP="007214C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jedną z </w:t>
            </w:r>
            <w:r w:rsidRPr="000F4E41">
              <w:rPr>
                <w:rFonts w:ascii="Times New Roman" w:hAnsi="Times New Roman"/>
                <w:b/>
              </w:rPr>
              <w:t>przesłanek skreślenia wpisu z urzędu jest przypadek wielokrotnego nadania podmiotowi numeru identyfikacyjnego</w:t>
            </w:r>
            <w:r w:rsidRPr="000F4E41">
              <w:rPr>
                <w:rFonts w:ascii="Times New Roman" w:eastAsiaTheme="minorHAnsi" w:hAnsi="Times New Roman"/>
              </w:rPr>
              <w:t xml:space="preserve"> REGON (ust. 17 pkt 1 tego artykułu), a skutkiem skreślenia jest anulowanie tego numeru – zasadne wydaje się sprecyzowanie i uzupełnienie tej regulacji, gdyż wydaje się ona dotyczyć </w:t>
            </w:r>
            <w:r w:rsidRPr="000F4E41">
              <w:rPr>
                <w:rFonts w:ascii="Times New Roman" w:eastAsiaTheme="minorHAnsi" w:hAnsi="Times New Roman"/>
              </w:rPr>
              <w:lastRenderedPageBreak/>
              <w:t xml:space="preserve">przypadku błędnego wpisania danego podmiotu do rejestru więcej niż raz; wydaje się możliwe, iż podmiot, którego to dotyczy, nie będzie miał o tym wiedzy, o ile nie wystąpi o wydanie zaświadczenia; skreślenie w rejestrze będzie zatem dotyczyło nie tyle podmiotu, ile „nadmiarowego” wpisu tego podmiotu wraz z „przypisanym” do tego wpisu numerem indentyfikacyjnym – w takim 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przypadku </w:t>
            </w:r>
            <w:r w:rsidRPr="000F4E41">
              <w:rPr>
                <w:rFonts w:ascii="Times New Roman" w:hAnsi="Times New Roman"/>
                <w:b/>
              </w:rPr>
              <w:t>zasadne jest co najmniej indywidualne poinformowanie podmiotu o dokonanym skreśleniu i anulowanym numerze identyfikacyjnym</w:t>
            </w:r>
            <w:r w:rsidRPr="000F4E41">
              <w:rPr>
                <w:rFonts w:ascii="Times New Roman" w:eastAsiaTheme="minorHAnsi" w:hAnsi="Times New Roman"/>
              </w:rPr>
              <w:t xml:space="preserve">, gdyż może to być właśnie ten numer, którym podmiot się posługuje; ponadto w omawianym przepisie </w:t>
            </w:r>
            <w:r w:rsidRPr="000F4E41">
              <w:rPr>
                <w:rFonts w:ascii="Times New Roman" w:hAnsi="Times New Roman"/>
                <w:b/>
              </w:rPr>
              <w:t>doprecyzowania wymagają także pozostałe przesłanki skreślenia wpisu z rejestru REGON (przykładowo nie wiadomo kiedy i przez kogo informacja będąca podstawą skreślenia z rejestru REGON zostanie uznana za wiarygodną – ust. 17 pkt 2 tego artykułu)</w:t>
            </w:r>
            <w:r w:rsidRPr="000F4E41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5103" w:type="dxa"/>
          </w:tcPr>
          <w:p w14:paraId="31A16069" w14:textId="594E50BF" w:rsidR="00513553" w:rsidRPr="000F4E41" w:rsidRDefault="0051355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695CAB25" w14:textId="77777777" w:rsidR="00EE40F6" w:rsidRPr="000F4E41" w:rsidRDefault="00EE40F6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0FC373E" w14:textId="199B0B66" w:rsidR="00193EC8" w:rsidRPr="000F4E41" w:rsidRDefault="00513553" w:rsidP="00193EC8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Zaproponowan</w:t>
            </w:r>
            <w:r w:rsidR="006D4A5C" w:rsidRPr="000F4E41">
              <w:rPr>
                <w:rFonts w:ascii="Times New Roman" w:hAnsi="Times New Roman"/>
              </w:rPr>
              <w:t>o</w:t>
            </w:r>
            <w:r w:rsidRPr="000F4E41">
              <w:rPr>
                <w:rFonts w:ascii="Times New Roman" w:hAnsi="Times New Roman"/>
              </w:rPr>
              <w:t xml:space="preserve">  </w:t>
            </w:r>
            <w:r w:rsidR="00193EC8" w:rsidRPr="000F4E41">
              <w:rPr>
                <w:rFonts w:ascii="Times New Roman" w:hAnsi="Times New Roman"/>
              </w:rPr>
              <w:t>nowe brzmienie omawianej grupy przepisów – zostały one zawarte w art. 42a ustawy o statystyce publicznej</w:t>
            </w:r>
            <w:r w:rsidR="002B2608" w:rsidRPr="000F4E41">
              <w:rPr>
                <w:rFonts w:ascii="Times New Roman" w:hAnsi="Times New Roman"/>
              </w:rPr>
              <w:t xml:space="preserve"> (art. 1 pkt 13 projektu ustawy)</w:t>
            </w:r>
            <w:r w:rsidR="00193EC8" w:rsidRPr="000F4E41">
              <w:rPr>
                <w:rFonts w:ascii="Times New Roman" w:hAnsi="Times New Roman"/>
              </w:rPr>
              <w:t>.</w:t>
            </w:r>
          </w:p>
          <w:p w14:paraId="2F78150D" w14:textId="31DD62EB" w:rsidR="002529D8" w:rsidRPr="000F4E41" w:rsidRDefault="00193EC8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Jednocześnie w art. 42 zrezygnowano z dodawania ust. 8a, 8b oraz ust. 15-21 </w:t>
            </w:r>
            <w:r w:rsidR="006D4A5C" w:rsidRPr="000F4E41">
              <w:rPr>
                <w:rFonts w:ascii="Times New Roman" w:hAnsi="Times New Roman"/>
              </w:rPr>
              <w:t xml:space="preserve">– </w:t>
            </w:r>
            <w:r w:rsidR="006D4A5C" w:rsidRPr="000F4E41">
              <w:rPr>
                <w:rFonts w:ascii="Times New Roman" w:hAnsi="Times New Roman"/>
                <w:i/>
              </w:rPr>
              <w:t>vide</w:t>
            </w:r>
            <w:r w:rsidR="006D4A5C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odniesienie do </w:t>
            </w:r>
            <w:r w:rsidR="006D4A5C" w:rsidRPr="000F4E41">
              <w:rPr>
                <w:rFonts w:ascii="Times New Roman" w:hAnsi="Times New Roman"/>
              </w:rPr>
              <w:t>uwag</w:t>
            </w:r>
            <w:r w:rsidRPr="000F4E41">
              <w:rPr>
                <w:rFonts w:ascii="Times New Roman" w:hAnsi="Times New Roman"/>
              </w:rPr>
              <w:t>i</w:t>
            </w:r>
            <w:r w:rsidR="006D4A5C" w:rsidRPr="000F4E41">
              <w:rPr>
                <w:rFonts w:ascii="Times New Roman" w:hAnsi="Times New Roman"/>
              </w:rPr>
              <w:t xml:space="preserve"> nr 9</w:t>
            </w:r>
            <w:r w:rsidRPr="000F4E41">
              <w:rPr>
                <w:rFonts w:ascii="Times New Roman" w:hAnsi="Times New Roman"/>
              </w:rPr>
              <w:t>.</w:t>
            </w:r>
          </w:p>
          <w:p w14:paraId="69601ACD" w14:textId="77777777" w:rsidR="00EE40F6" w:rsidRPr="000F4E41" w:rsidRDefault="00EE40F6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4D7CFAD" w14:textId="26F12894" w:rsidR="00D92880" w:rsidRPr="000F4E41" w:rsidRDefault="000B5DC9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EE40F6" w:rsidRPr="000F4E41">
              <w:rPr>
                <w:rFonts w:ascii="Times New Roman" w:hAnsi="Times New Roman"/>
                <w:b/>
              </w:rPr>
              <w:t>:</w:t>
            </w:r>
          </w:p>
          <w:p w14:paraId="2F06737F" w14:textId="1E1032C5" w:rsidR="00AC7485" w:rsidRPr="000F4E41" w:rsidRDefault="00D92880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Dodano  przepis zobowiązujący urząd do wykreślenia nadmiarowo nadanego numeru REGON w porozumieniu z podmiotem (zazwyczaj to podmiot wnioskuje o zachowanie jednego z nadanych numerów REGON) oraz uprawnienie do wezwania podmiotu w celu weryfikacji wpisu w zakresie danych adresowych. W przypadku braku reakcji ze strony podmiotu dane adresowe zostaną wykreślone z rejestru po potwierdzeniu przez </w:t>
            </w:r>
            <w:r w:rsidR="00EE40F6" w:rsidRPr="000F4E41">
              <w:rPr>
                <w:rFonts w:ascii="Times New Roman" w:hAnsi="Times New Roman"/>
              </w:rPr>
              <w:t>w</w:t>
            </w:r>
            <w:r w:rsidRPr="000F4E41">
              <w:rPr>
                <w:rFonts w:ascii="Times New Roman" w:hAnsi="Times New Roman"/>
              </w:rPr>
              <w:t>nioskującego – np. poprzez wskazanie KW – prawa do lokalu.</w:t>
            </w:r>
          </w:p>
          <w:p w14:paraId="3B6183F1" w14:textId="0D787142" w:rsidR="001248C8" w:rsidRPr="000F4E41" w:rsidRDefault="001248C8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Aktualizacja danych na podstawie danych otrzymanych od organów prowadzących ewidencje lub rejestry urzędowe albo ujawnionych w ewidencjach lub rejestrach urzędowych </w:t>
            </w:r>
          </w:p>
          <w:p w14:paraId="455D8939" w14:textId="1D166CA8" w:rsidR="00D92880" w:rsidRPr="000F4E41" w:rsidRDefault="00D92880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naszej ocenie nie wymaga prowadzenia postępowania.</w:t>
            </w:r>
          </w:p>
          <w:p w14:paraId="03B75EBB" w14:textId="77777777" w:rsidR="00EE40F6" w:rsidRPr="000F4E41" w:rsidRDefault="00EE40F6" w:rsidP="00EE40F6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Przesłanki skreślenia wpisu w związku z:</w:t>
            </w:r>
          </w:p>
          <w:p w14:paraId="2CB9E721" w14:textId="77777777" w:rsidR="00EE40F6" w:rsidRPr="000F4E41" w:rsidRDefault="00EE40F6" w:rsidP="006602F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zniesieniem lub likwidacją podmiotu na podstawie odrębnych przepisów;</w:t>
            </w:r>
          </w:p>
          <w:p w14:paraId="72E4A37E" w14:textId="77777777" w:rsidR="00EE40F6" w:rsidRPr="000F4E41" w:rsidRDefault="00EE40F6" w:rsidP="006602FF">
            <w:pPr>
              <w:pStyle w:val="Akapitzlist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niewpisaniem podmiotu do właściwej ewidencji lub rejestru, jeżeli wpis ten jest wymagany na podstawie odrębnych przepisów </w:t>
            </w:r>
          </w:p>
          <w:p w14:paraId="4861160E" w14:textId="77777777" w:rsidR="00EE40F6" w:rsidRPr="000F4E41" w:rsidRDefault="00EE40F6" w:rsidP="00EE40F6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– odnoszą się do podmiotów w zasadzie nieistniejących, które nie dokonały/ nie dokonają zgłoszenia do rejestru (np. osoby fizyczne nieprzeniesione z ewidencji działalności gospodarczej do CEIDG, które nie zgłosiły przed wprowadzeniem jednego okienka rejestrowego wniosku o skreślenie do rejestru REGON.</w:t>
            </w:r>
          </w:p>
          <w:p w14:paraId="06E58EA6" w14:textId="6327AA26" w:rsidR="000B5DC9" w:rsidRPr="000F4E41" w:rsidRDefault="000B5DC9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bookmarkEnd w:id="5"/>
      <w:tr w:rsidR="005F6002" w:rsidRPr="000F4E41" w14:paraId="1CA851FA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05934B8" w14:textId="09D718AE" w:rsidR="005F6002" w:rsidRPr="000F4E41" w:rsidRDefault="009A04E4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1</w:t>
            </w:r>
            <w:r w:rsidR="00C1018B">
              <w:rPr>
                <w:rFonts w:ascii="Times New Roman" w:hAnsi="Times New Roman"/>
              </w:rPr>
              <w:t>2</w:t>
            </w:r>
            <w:r w:rsidR="002F44B9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59486ECD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4ACFA742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10 lit. c projektu</w:t>
            </w:r>
          </w:p>
          <w:p w14:paraId="1B506153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42 ust. 3 pkt 1 ustawy o statystyce publicznej)</w:t>
            </w:r>
          </w:p>
          <w:p w14:paraId="75B27887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5AC6C8E7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Proszę o rozważenie przeformułowania przepisu poprzez przesunięcie wyrażenia „adres miejsca wykonywania działalności, o ile podmiot takie miejsce posiada” do części po myślniku, jako regulacji dotyczącej wyłącznie osób fizycznych.</w:t>
            </w:r>
          </w:p>
          <w:p w14:paraId="17163B7C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Wyrażenia „stały adres miejsca wykonywania działalności”, stosowane względem osób fizycznych i „adres miejsca prowadzenia działalności”, stosowane względem innych podmiotów, są do siebie na tyle zbliżone, że w powszechnej świadomości mogą być stosowane zamiennie. O ile jednak wpis do Centralnej Ewidencji Działalności Gospodarczej obejmuje stałe adresy miejsca wykonywania działalności na podstawie art. 5 ust. 1 pkt 6 ustawy o CEiDG1, o tyle Krajowy Rejestr Sądowy nie uwzględnia adresów miejsc prowadzenia działalności – te wskazywane są w zgłoszeniu identyfikacyjnym lub aktualizacyjnym w zakresie tzw.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Danych uzupełniających</w:t>
            </w:r>
            <w:r w:rsidRPr="000F4E41">
              <w:rPr>
                <w:rFonts w:ascii="Times New Roman" w:eastAsiaTheme="minorHAnsi" w:hAnsi="Times New Roman"/>
              </w:rPr>
              <w:t xml:space="preserve">, składanym do urzędu skarbowego na podstawie art. 5 ust. 2b ustawy CRP-KEP2 i nie są objęte wpisem do rejestru REGON. </w:t>
            </w:r>
          </w:p>
          <w:p w14:paraId="4AF4B74C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efekcie art. 42 ust. 3 pkt 1 ustawy w proponowanym brzmieniu może prowadzić do niejasności i błędnych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oczekiwań co do tego, jaki zakres informacji na temat podmiotów gospodarczych podlega ujawnieniu w rejestrze REGON.</w:t>
            </w:r>
          </w:p>
        </w:tc>
        <w:tc>
          <w:tcPr>
            <w:tcW w:w="5103" w:type="dxa"/>
          </w:tcPr>
          <w:p w14:paraId="2928C1BE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  <w:r w:rsidRPr="000F4E41">
              <w:rPr>
                <w:rFonts w:ascii="Times New Roman" w:hAnsi="Times New Roman"/>
              </w:rPr>
              <w:t xml:space="preserve">. </w:t>
            </w:r>
          </w:p>
          <w:p w14:paraId="1B9D556A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DE2909B" w14:textId="023A7D6F" w:rsidR="005F6002" w:rsidRPr="000F4E41" w:rsidRDefault="00513553" w:rsidP="007214C3">
            <w:pPr>
              <w:spacing w:after="0" w:line="240" w:lineRule="auto"/>
              <w:rPr>
                <w:rFonts w:ascii="Times New Roman" w:hAnsi="Times New Roman"/>
              </w:rPr>
            </w:pPr>
            <w:bookmarkStart w:id="6" w:name="_Hlk164415636"/>
            <w:bookmarkStart w:id="7" w:name="_Hlk164593240"/>
            <w:r w:rsidRPr="000F4E41">
              <w:rPr>
                <w:rFonts w:ascii="Times New Roman" w:hAnsi="Times New Roman"/>
              </w:rPr>
              <w:t xml:space="preserve">Zaproponowano </w:t>
            </w:r>
            <w:r w:rsidR="001C0A37" w:rsidRPr="000F4E41">
              <w:rPr>
                <w:rFonts w:ascii="Times New Roman" w:hAnsi="Times New Roman"/>
              </w:rPr>
              <w:t xml:space="preserve">nowe brzmienie pkt 1 w </w:t>
            </w:r>
            <w:r w:rsidRPr="000F4E41">
              <w:rPr>
                <w:rFonts w:ascii="Times New Roman" w:hAnsi="Times New Roman"/>
              </w:rPr>
              <w:t>art. 42 ust 3</w:t>
            </w:r>
            <w:r w:rsidR="002B2608" w:rsidRPr="000F4E41">
              <w:rPr>
                <w:rFonts w:ascii="Times New Roman" w:hAnsi="Times New Roman"/>
              </w:rPr>
              <w:t xml:space="preserve"> (art. 1 pkt 10 projektu ustawy)</w:t>
            </w:r>
            <w:r w:rsidR="009B4F43" w:rsidRPr="000F4E41">
              <w:rPr>
                <w:rFonts w:ascii="Times New Roman" w:hAnsi="Times New Roman"/>
              </w:rPr>
              <w:t>:</w:t>
            </w:r>
          </w:p>
          <w:p w14:paraId="2E4B98C9" w14:textId="69888C79" w:rsidR="00651487" w:rsidRPr="000F4E41" w:rsidRDefault="00651487" w:rsidP="00651487">
            <w:pPr>
              <w:pStyle w:val="ZTIRPKTzmpkttiret"/>
              <w:spacing w:line="240" w:lineRule="auto"/>
              <w:ind w:left="0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„1) nazwa pełna, adres siedziby w przypadku podmiotu niebędącego osobą fizyczną prowadzącą działalność gospodarczą, adres miejsca wykonywania działalności przez osobę fizyczną prowadzącą działalność gospodarczą, o ile takie miejsce posiada, adres do doręczeń oraz nazwa podmiotu, na którego adres jest kierowana korespondencja, a w przypadku osoby fizycznej prowadzącej działalność gospodarczą – dodatkowo nazwisko i imiona oraz adres miejsca zamieszkania i numer PESEL, o ile taki posiada;”.</w:t>
            </w:r>
          </w:p>
          <w:bookmarkEnd w:id="6"/>
          <w:p w14:paraId="27436039" w14:textId="77777777" w:rsidR="003767EE" w:rsidRPr="000F4E41" w:rsidRDefault="003767E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bookmarkEnd w:id="7"/>
          <w:p w14:paraId="023593F2" w14:textId="114D996E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EE40F6" w:rsidRPr="000F4E41">
              <w:rPr>
                <w:rFonts w:ascii="Times New Roman" w:hAnsi="Times New Roman"/>
                <w:b/>
              </w:rPr>
              <w:t>:</w:t>
            </w:r>
            <w:r w:rsidRPr="000F4E41">
              <w:rPr>
                <w:rFonts w:ascii="Times New Roman" w:hAnsi="Times New Roman"/>
                <w:b/>
              </w:rPr>
              <w:t xml:space="preserve"> </w:t>
            </w:r>
          </w:p>
          <w:p w14:paraId="02128C98" w14:textId="56833522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</w:rPr>
              <w:t xml:space="preserve">W celu uniknięcia niejasności, proponujemy brzmienie przepisu z którego jednoznacznie wynika, że adres siedziby dot. podmiotów niebędących osobami fizycznymi prowadzącymi działalność gospodarczą, a adres miejsca wykonywania działalności dot. osób </w:t>
            </w:r>
            <w:r w:rsidRPr="000F4E41">
              <w:rPr>
                <w:rFonts w:ascii="Times New Roman" w:hAnsi="Times New Roman"/>
              </w:rPr>
              <w:lastRenderedPageBreak/>
              <w:t xml:space="preserve">fizycznych prowadzących </w:t>
            </w:r>
            <w:r w:rsidRPr="000F4E41">
              <w:rPr>
                <w:rFonts w:ascii="Times New Roman" w:hAnsi="Times New Roman"/>
                <w:i/>
              </w:rPr>
              <w:t>działalność gospodarczą, o ile takie miejsce posiadają.</w:t>
            </w:r>
          </w:p>
        </w:tc>
      </w:tr>
      <w:tr w:rsidR="005F6002" w:rsidRPr="000F4E41" w14:paraId="273A783E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0EB0789" w14:textId="27D65C23" w:rsidR="005F6002" w:rsidRPr="009A64AB" w:rsidRDefault="00445FBD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C1018B">
              <w:rPr>
                <w:rFonts w:ascii="Times New Roman" w:hAnsi="Times New Roman"/>
              </w:rPr>
              <w:t>3</w:t>
            </w:r>
            <w:r w:rsidR="002F44B9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38CF11B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ME</w:t>
            </w:r>
          </w:p>
        </w:tc>
        <w:tc>
          <w:tcPr>
            <w:tcW w:w="2410" w:type="dxa"/>
            <w:shd w:val="clear" w:color="auto" w:fill="auto"/>
          </w:tcPr>
          <w:p w14:paraId="410A6696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10 lit. g i j projektu</w:t>
            </w:r>
          </w:p>
          <w:p w14:paraId="470E50CC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42 ust. 8a i 8b oraz ust. 15-21</w:t>
            </w:r>
            <w:r w:rsidRPr="000F4E41">
              <w:rPr>
                <w:rFonts w:ascii="Times New Roman" w:hAnsi="Times New Roman"/>
              </w:rPr>
              <w:br/>
              <w:t>ustawy o statystyce publicznej)</w:t>
            </w:r>
          </w:p>
          <w:p w14:paraId="0B3E86D1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78C6B832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art. 1 pkt 10 lit. g i j wyrazy „baz danych </w:t>
            </w:r>
            <w:bookmarkStart w:id="8" w:name="_Hlk160094468"/>
            <w:r w:rsidRPr="000F4E41">
              <w:rPr>
                <w:rFonts w:ascii="Times New Roman" w:hAnsi="Times New Roman"/>
              </w:rPr>
              <w:t xml:space="preserve">systemu informacji oświatowej” </w:t>
            </w:r>
            <w:bookmarkEnd w:id="8"/>
            <w:r w:rsidRPr="000F4E41">
              <w:rPr>
                <w:rFonts w:ascii="Times New Roman" w:hAnsi="Times New Roman"/>
              </w:rPr>
              <w:t>należy zastąpić wyrazami „systemu informacji oświatowej”.</w:t>
            </w:r>
          </w:p>
          <w:p w14:paraId="7A953FCF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ABDECE6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Uzasadnienie:</w:t>
            </w:r>
          </w:p>
          <w:p w14:paraId="73360167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Zgodnie z art. 2 ustawy z dnia 15 kwietnia 2011 r. o systemie informacji oświatowej (Dz.U. z 2024 r. poz. 152) system informacji oświatowej (SIO) stanowią baza danych SIO oraz system teleinformatyczny. Zasadne jest zatem wprowadzenie powyższej zmiany, ponieważ SIO funkcjonuje jako jedna, centralna baza danych, a aktualizacja rejestru REGON będzie się dokonywała na podstawie danych przekazywanych z bazy danych SIO i za pomocą systemu teleinformatycznego.</w:t>
            </w:r>
          </w:p>
        </w:tc>
        <w:tc>
          <w:tcPr>
            <w:tcW w:w="5103" w:type="dxa"/>
          </w:tcPr>
          <w:p w14:paraId="79E0C20D" w14:textId="56B6130C" w:rsidR="0009050B" w:rsidRPr="000F4E41" w:rsidRDefault="0009050B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9" w:name="_Hlk161729054"/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2205A16E" w14:textId="77777777" w:rsidR="00CF2384" w:rsidRPr="000F4E41" w:rsidRDefault="00CF2384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AB2494F" w14:textId="2B5AE312" w:rsidR="00063D37" w:rsidRPr="000F4E41" w:rsidRDefault="00063D37" w:rsidP="00063D37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Wobec zgłoszonych zastrzeżeń (uwaga nr 9) zaproponowane zostało nowe brzmienie omawianej grupy przepisów – zostały one zawarte w art. 42a ustawy o statystyce publicznej</w:t>
            </w:r>
            <w:r w:rsidR="002B2608" w:rsidRPr="000F4E41">
              <w:rPr>
                <w:rFonts w:ascii="Times New Roman" w:hAnsi="Times New Roman"/>
              </w:rPr>
              <w:t xml:space="preserve"> (art. 1 pkt 13 projektu ustawy)</w:t>
            </w:r>
            <w:r w:rsidRPr="000F4E41">
              <w:rPr>
                <w:rFonts w:ascii="Times New Roman" w:hAnsi="Times New Roman"/>
              </w:rPr>
              <w:t>.</w:t>
            </w:r>
          </w:p>
          <w:p w14:paraId="64B3377C" w14:textId="77777777" w:rsidR="00063D37" w:rsidRPr="000F4E41" w:rsidRDefault="00063D37" w:rsidP="00063D37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Jednocześnie w art. 42 zrezygnowano z dodawania ust. 8a, 8b oraz ust. 15-21.</w:t>
            </w:r>
          </w:p>
          <w:p w14:paraId="062453DF" w14:textId="77777777" w:rsidR="00063D37" w:rsidRPr="000F4E41" w:rsidRDefault="00063D37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bookmarkEnd w:id="9"/>
          <w:p w14:paraId="74ACE0D6" w14:textId="1A5423FD" w:rsidR="0009050B" w:rsidRPr="000F4E41" w:rsidRDefault="0009050B" w:rsidP="00063D3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F6002" w:rsidRPr="000F4E41" w14:paraId="043729C9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92397CD" w14:textId="4C0C3DF1" w:rsidR="005F6002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1</w:t>
            </w:r>
            <w:r w:rsidR="00C1018B">
              <w:rPr>
                <w:rFonts w:ascii="Times New Roman" w:hAnsi="Times New Roman"/>
              </w:rPr>
              <w:t>4</w:t>
            </w:r>
            <w:r w:rsidR="002F44B9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5834C92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091D4041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F4E41">
              <w:rPr>
                <w:rFonts w:ascii="Times New Roman" w:hAnsi="Times New Roman"/>
                <w:b/>
                <w:color w:val="000000"/>
              </w:rPr>
              <w:t>Art. 1 pkt 15 lit. a projektu</w:t>
            </w:r>
          </w:p>
          <w:p w14:paraId="4236AE77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45 ust. 1 ustawy o statystyce publicznej)</w:t>
            </w:r>
          </w:p>
          <w:p w14:paraId="46CFF58E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330C18C3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Korekty wymaga zmieniany art. 45 ust. 1 ustawy w zakresie dotyczącym udostępniania danych kontaktowych podmiotu wpisanego do rejestru REGON, jeżeli podmiot nie sprzeciwi się ich udostępnianiu. </w:t>
            </w:r>
            <w:r w:rsidRPr="000F4E41">
              <w:rPr>
                <w:rFonts w:ascii="Times New Roman" w:hAnsi="Times New Roman"/>
              </w:rPr>
              <w:t>Zaznaczyć należy, że przepisy projektu nie regulują kwestii formy i trybu składania takiego sprzeciwu, co powinno stanowić regulację niniejszego projektu ustawy</w:t>
            </w:r>
            <w:r w:rsidRPr="000F4E41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5103" w:type="dxa"/>
          </w:tcPr>
          <w:p w14:paraId="347689A4" w14:textId="77777777" w:rsidR="00D374B6" w:rsidRPr="000F4E41" w:rsidRDefault="00D374B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1E9DB190" w14:textId="39F68D00" w:rsidR="000030B5" w:rsidRPr="000F4E41" w:rsidRDefault="000030B5" w:rsidP="007214C3">
            <w:pPr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  <w:p w14:paraId="6E51249D" w14:textId="5BCA7CC2" w:rsidR="00D374B6" w:rsidRPr="000F4E41" w:rsidRDefault="00425D04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10" w:name="_Hlk164415968"/>
            <w:r w:rsidRPr="000F4E41">
              <w:rPr>
                <w:rFonts w:ascii="Times New Roman" w:hAnsi="Times New Roman"/>
              </w:rPr>
              <w:t>Zaproponowano nowe brzmienie</w:t>
            </w:r>
            <w:r w:rsidR="00AA3D19" w:rsidRPr="000F4E41">
              <w:rPr>
                <w:rFonts w:ascii="Times New Roman" w:hAnsi="Times New Roman"/>
              </w:rPr>
              <w:t xml:space="preserve"> </w:t>
            </w:r>
            <w:r w:rsidR="008C73E0" w:rsidRPr="000F4E41">
              <w:rPr>
                <w:rFonts w:ascii="Times New Roman" w:hAnsi="Times New Roman"/>
              </w:rPr>
              <w:t>ust. 1</w:t>
            </w:r>
            <w:r w:rsidR="007333C9" w:rsidRPr="000F4E41">
              <w:rPr>
                <w:rFonts w:ascii="Times New Roman" w:hAnsi="Times New Roman"/>
              </w:rPr>
              <w:t>, 1a</w:t>
            </w:r>
            <w:r w:rsidR="00C56A2D">
              <w:rPr>
                <w:rFonts w:ascii="Times New Roman" w:hAnsi="Times New Roman"/>
              </w:rPr>
              <w:t xml:space="preserve"> i 1b</w:t>
            </w:r>
            <w:r w:rsidR="007333C9" w:rsidRPr="000F4E41">
              <w:rPr>
                <w:rFonts w:ascii="Times New Roman" w:hAnsi="Times New Roman"/>
              </w:rPr>
              <w:t xml:space="preserve"> </w:t>
            </w:r>
            <w:r w:rsidR="008C73E0" w:rsidRPr="000F4E41">
              <w:rPr>
                <w:rFonts w:ascii="Times New Roman" w:hAnsi="Times New Roman"/>
              </w:rPr>
              <w:t>w art. 45</w:t>
            </w:r>
            <w:r w:rsidR="002B2608" w:rsidRPr="000F4E41">
              <w:rPr>
                <w:rFonts w:ascii="Times New Roman" w:hAnsi="Times New Roman"/>
              </w:rPr>
              <w:t xml:space="preserve"> (art. 1 pkt 16 projektu ustawy)</w:t>
            </w:r>
            <w:r w:rsidR="007F26D5" w:rsidRPr="000F4E41">
              <w:rPr>
                <w:rFonts w:ascii="Times New Roman" w:hAnsi="Times New Roman"/>
              </w:rPr>
              <w:t>.</w:t>
            </w:r>
          </w:p>
          <w:p w14:paraId="73821D95" w14:textId="03ABB232" w:rsidR="00A16A54" w:rsidRPr="000F4E41" w:rsidRDefault="00A16A54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bookmarkStart w:id="11" w:name="_Hlk163456604"/>
            <w:r w:rsidRPr="000F4E41">
              <w:rPr>
                <w:rFonts w:ascii="Times New Roman" w:hAnsi="Times New Roman"/>
                <w:i/>
              </w:rPr>
              <w:t xml:space="preserve">„1. W zakresie numeru identyfikacyjnego REGON oraz informacji, o których mowa w art. 42 ust. 3 w pkt 1-4, w pkt 5 lit a-h, lit i </w:t>
            </w:r>
            <w:proofErr w:type="spellStart"/>
            <w:r w:rsidRPr="000F4E41">
              <w:rPr>
                <w:rFonts w:ascii="Times New Roman" w:hAnsi="Times New Roman"/>
                <w:i/>
              </w:rPr>
              <w:t>tiret</w:t>
            </w:r>
            <w:proofErr w:type="spellEnd"/>
            <w:r w:rsidRPr="000F4E41">
              <w:rPr>
                <w:rFonts w:ascii="Times New Roman" w:hAnsi="Times New Roman"/>
                <w:i/>
              </w:rPr>
              <w:t xml:space="preserve"> pierwsze oraz lit. j i k, a także w pkt 6 i 9, z wyłączeniem numeru PESEL i adresu zamieszkania osoby fizycznej prowadzącej działalność gospodarczą, o ile nie został wskazany jako adres wykonywania działalności, rejestr REGON jest jawny i dostępny dla osób trzecich w formach określonych w ust. 2 i 3 oraz w art. 45a. Dodatkowo są udostępniane dane dotyczące: adresu do doręczeń oraz nazwy podmiotu, na którego adres jest kierowana korespondencja, numeru telefonu i faksu, adresu poczty elektronicznej, adresu do doręczeń elektronicznych oraz strony internetowej, w przypadku gdy podmiot nie sprzeciwił się ich udostępnieniu.”, </w:t>
            </w:r>
          </w:p>
          <w:p w14:paraId="544C5074" w14:textId="77777777" w:rsidR="00FE0324" w:rsidRPr="000F4E41" w:rsidRDefault="00FE0324" w:rsidP="00FE03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„1a. Sprzeciw, o którym mowa w ust. 1 zdanie drugie, jest zgłaszany na wniosku składanym w wybranym urzędzie statystycznym. Przepisy art. 42 ust. 6 i 7 stosuje się odpowiednio.</w:t>
            </w:r>
          </w:p>
          <w:p w14:paraId="0EB7617D" w14:textId="667FDFE7" w:rsidR="00FE0324" w:rsidRPr="000F4E41" w:rsidRDefault="00FE0324" w:rsidP="00FE0324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lastRenderedPageBreak/>
              <w:t>1b. Sprzeciw nie ma zastosowania do podmiotów publicznych i nie dotyczy danych ujawnianych w Centralnej Ewidencji i Informacji o Działalności Gospodarczej, Rejestrze Szkół i Placówek Oświatowych oraz Krajowym Rejestrze Sądowym, a także danych przekazywanych z Centralnego Rejestru Podmiotów – Krajowej Ewidencji Podatników nieobjętych zgodą na ich udostępnianie.”</w:t>
            </w:r>
          </w:p>
          <w:p w14:paraId="4C21DD94" w14:textId="4A3E6270" w:rsidR="00FE0324" w:rsidRPr="000F4E41" w:rsidRDefault="00FE0324" w:rsidP="007333C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56533D33" w14:textId="525FB78D" w:rsidR="00FE0324" w:rsidRPr="000F4E41" w:rsidRDefault="00FE0324" w:rsidP="007333C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bookmarkEnd w:id="10"/>
          <w:p w14:paraId="4CF61349" w14:textId="44714804" w:rsidR="00097966" w:rsidRPr="000F4E41" w:rsidRDefault="0009796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1C0A37" w:rsidRPr="000F4E41">
              <w:rPr>
                <w:rFonts w:ascii="Times New Roman" w:hAnsi="Times New Roman"/>
                <w:b/>
              </w:rPr>
              <w:t>:</w:t>
            </w:r>
          </w:p>
          <w:bookmarkEnd w:id="11"/>
          <w:p w14:paraId="2DC3A109" w14:textId="1353C174" w:rsidR="00097966" w:rsidRPr="000F4E41" w:rsidRDefault="008C73E0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Odnośnie</w:t>
            </w:r>
            <w:r w:rsidR="00097966" w:rsidRPr="000F4E41">
              <w:rPr>
                <w:rFonts w:ascii="Times New Roman" w:hAnsi="Times New Roman"/>
              </w:rPr>
              <w:t xml:space="preserve"> sprzeciwu </w:t>
            </w:r>
            <w:r w:rsidRPr="000F4E41">
              <w:rPr>
                <w:rFonts w:ascii="Times New Roman" w:hAnsi="Times New Roman"/>
              </w:rPr>
              <w:t>przy</w:t>
            </w:r>
            <w:r w:rsidR="00097966" w:rsidRPr="000F4E41">
              <w:rPr>
                <w:rFonts w:ascii="Times New Roman" w:hAnsi="Times New Roman"/>
              </w:rPr>
              <w:t xml:space="preserve"> udostępniani</w:t>
            </w:r>
            <w:r w:rsidRPr="000F4E41">
              <w:rPr>
                <w:rFonts w:ascii="Times New Roman" w:hAnsi="Times New Roman"/>
              </w:rPr>
              <w:t>u</w:t>
            </w:r>
            <w:r w:rsidR="00097966" w:rsidRPr="000F4E41">
              <w:rPr>
                <w:rFonts w:ascii="Times New Roman" w:hAnsi="Times New Roman"/>
              </w:rPr>
              <w:t xml:space="preserve"> części danych podawanych przez podmiot zastosowano konstrukcję analogiczną jak w ustawie z dnia 6 marca 2018 r. o Centralnej Ewidencji i Informacji o Działalności Gospodarczej i Punkcie Informacji dla Przedsiębiorcy – art. 43 ust.1.</w:t>
            </w:r>
          </w:p>
          <w:p w14:paraId="5438057B" w14:textId="48E4A808" w:rsidR="00642F2C" w:rsidRPr="000F4E41" w:rsidRDefault="00097966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związku z tym, że rejestr REGON jest rejestrem wtórnym, obecnie w przypadku sprzeciwu wyrażonego przez przedsiębiorcę - będącego osobą fizyczną - na wniosku CEIDG-1. stanowiącym jednocześnie zgłoszenie do GUS, nie są udostępniane dane objęte sprzeciwem. Analogicznie w przypadku podmiotów wpisanych w KRS, zobowiązanych do zgłaszania danych uzupełniających (w tym danych kontaktowych) do naczelnika urzędu skarbowego (NIP-8) nie są udostępniane z rejestru REGON  dane co do których udostępnienia nie wyrażono zgody. Intencją projektodawcy było umożliwienie wyrażenia sprzeciwu również podmiotom wpisywanym w oparciu o wniosek RG – który obecnie zawiera jedynie pouczenie wskazujące, że podanie danych skutkuje ich udostępnieniem.</w:t>
            </w:r>
          </w:p>
        </w:tc>
      </w:tr>
      <w:tr w:rsidR="005F6002" w:rsidRPr="000F4E41" w14:paraId="6AAAFAB8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534ABF49" w14:textId="01515839" w:rsidR="005F6002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1</w:t>
            </w:r>
            <w:r w:rsidR="00C1018B">
              <w:rPr>
                <w:rFonts w:ascii="Times New Roman" w:hAnsi="Times New Roman"/>
              </w:rPr>
              <w:t>5</w:t>
            </w:r>
            <w:r w:rsidR="002F44B9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599475B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14536738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0F4E41">
              <w:rPr>
                <w:rFonts w:ascii="Times New Roman" w:hAnsi="Times New Roman"/>
                <w:b/>
                <w:color w:val="000000"/>
              </w:rPr>
              <w:t>Art. 1 pkt 15 lit. b i c projektu</w:t>
            </w:r>
          </w:p>
          <w:p w14:paraId="5EAB9E3E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45 ust. 1b i 3b ustawy o statystyce publicznej)</w:t>
            </w:r>
          </w:p>
          <w:p w14:paraId="78E294A0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276CB1BE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dodawanym w art. 45 ustawy:</w:t>
            </w:r>
          </w:p>
          <w:p w14:paraId="0FEB83FE" w14:textId="77777777" w:rsidR="005F6002" w:rsidRPr="000F4E41" w:rsidRDefault="005F6002" w:rsidP="007214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ust. 1b stanowi, że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W przypadku osób fizycznych prowadzących działalność gospodarczą skreślonych z Centralnej Ewidencji i Informacji o Działalności Gospodarczej lub z rejestru REGON, informacje i dane, o których mowa w ust. 1, są udostępniane przez 10 lat od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lastRenderedPageBreak/>
              <w:t xml:space="preserve">dnia skreślenia z ewidencji lub rejestru; </w:t>
            </w:r>
            <w:r w:rsidRPr="000F4E41">
              <w:rPr>
                <w:rFonts w:ascii="Times New Roman" w:eastAsiaTheme="minorHAnsi" w:hAnsi="Times New Roman"/>
              </w:rPr>
              <w:t xml:space="preserve">należy zauważyć, że w projektowanej ustawie </w:t>
            </w:r>
            <w:r w:rsidRPr="000F4E41">
              <w:rPr>
                <w:rFonts w:ascii="Times New Roman" w:hAnsi="Times New Roman"/>
                <w:b/>
              </w:rPr>
              <w:t>proponowana regulacja może odnosić się jedynie do rejestru REGON,</w:t>
            </w:r>
            <w:r w:rsidRPr="000F4E41">
              <w:rPr>
                <w:rFonts w:ascii="Times New Roman" w:eastAsiaTheme="minorHAnsi" w:hAnsi="Times New Roman"/>
              </w:rPr>
              <w:t xml:space="preserve"> bowiem odnośnie do Centralnej Ewidencji i Informacji o Działalności Gospodarczej taka regulacja powinna zostać wprowadzona w ustawie regulującej funkcjonowanie tej ewidencji;</w:t>
            </w:r>
          </w:p>
          <w:p w14:paraId="59336311" w14:textId="5036C47C" w:rsidR="005F6002" w:rsidRPr="000F4E41" w:rsidRDefault="005F6002" w:rsidP="007214C3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>ust. 3</w:t>
            </w:r>
            <w:r w:rsidR="00AB1820" w:rsidRPr="000F4E41">
              <w:rPr>
                <w:rFonts w:ascii="Times New Roman" w:eastAsiaTheme="minorHAnsi" w:hAnsi="Times New Roman"/>
              </w:rPr>
              <w:t xml:space="preserve">b </w:t>
            </w:r>
            <w:r w:rsidRPr="000F4E41">
              <w:rPr>
                <w:rFonts w:ascii="Times New Roman" w:eastAsiaTheme="minorHAnsi" w:hAnsi="Times New Roman"/>
              </w:rPr>
              <w:t xml:space="preserve">tanowi, że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Jeżeli udostępnienie danych zawartych w rejestrze REGON dla celów, o których mowa w ust. 3a, wymaga poniesienia dodatkowych nakładów lub niewspółmiernie dużego wysiłku wiążącego się z dodatkowymi kosztami, dane te udostępnia się pod warunkiem zwrotu przez wnioskodawcę tych nakładów lub kosztów. </w:t>
            </w:r>
            <w:r w:rsidRPr="000F4E41">
              <w:rPr>
                <w:rFonts w:ascii="Times New Roman" w:eastAsiaTheme="minorHAnsi" w:hAnsi="Times New Roman"/>
              </w:rPr>
              <w:t xml:space="preserve">Należy zauważyć, że omawiany przepis nie zawiera regulacji dotyczącej m.in. sposobu ustalania wysokości nakładów lub kosztów jakie będzie musiał ponieść wnioskodawca, czy sytuacji, gdy wnioskodawca takiego zwrotu nie dokona; ponadto przepis zawiera także zwrot „niewspółmiernie duży wysiłek”, który jest zwrotem bardzo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ocennym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 i niemierzalnym; zatem omawiany przepis w powyższym zakresie wymaga ponownej analizy i uzupełnienia.</w:t>
            </w:r>
          </w:p>
        </w:tc>
        <w:tc>
          <w:tcPr>
            <w:tcW w:w="5103" w:type="dxa"/>
          </w:tcPr>
          <w:p w14:paraId="236C5B12" w14:textId="77777777" w:rsidR="005F6002" w:rsidRPr="000F4E41" w:rsidRDefault="0009050B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 xml:space="preserve">Uwaga uwzględniona </w:t>
            </w:r>
          </w:p>
          <w:p w14:paraId="2571479A" w14:textId="77777777" w:rsidR="008C73E0" w:rsidRPr="000F4E41" w:rsidRDefault="008C73E0" w:rsidP="007214C3">
            <w:pPr>
              <w:spacing w:after="0" w:line="240" w:lineRule="auto"/>
              <w:rPr>
                <w:rFonts w:ascii="Times New Roman" w:hAnsi="Times New Roman"/>
                <w:b/>
                <w:highlight w:val="yellow"/>
              </w:rPr>
            </w:pPr>
          </w:p>
          <w:p w14:paraId="34820768" w14:textId="1CB32BBC" w:rsidR="005E69C3" w:rsidRPr="000F4E41" w:rsidRDefault="00EE40F6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Z</w:t>
            </w:r>
            <w:r w:rsidR="00D374B6" w:rsidRPr="000F4E41">
              <w:rPr>
                <w:rFonts w:ascii="Times New Roman" w:hAnsi="Times New Roman"/>
              </w:rPr>
              <w:t>aproponowano nowe  brzmienie</w:t>
            </w:r>
            <w:r w:rsidR="003B1618" w:rsidRPr="000F4E41">
              <w:rPr>
                <w:rFonts w:ascii="Times New Roman" w:hAnsi="Times New Roman"/>
              </w:rPr>
              <w:t xml:space="preserve"> ust 1</w:t>
            </w:r>
            <w:r w:rsidR="00147EBC" w:rsidRPr="000F4E41">
              <w:rPr>
                <w:rFonts w:ascii="Times New Roman" w:hAnsi="Times New Roman"/>
              </w:rPr>
              <w:t>d</w:t>
            </w:r>
            <w:r w:rsidR="003B1618" w:rsidRPr="000F4E41">
              <w:rPr>
                <w:rFonts w:ascii="Times New Roman" w:hAnsi="Times New Roman"/>
              </w:rPr>
              <w:t xml:space="preserve"> </w:t>
            </w:r>
            <w:r w:rsidR="00147EBC" w:rsidRPr="000F4E41">
              <w:rPr>
                <w:rFonts w:ascii="Times New Roman" w:hAnsi="Times New Roman"/>
              </w:rPr>
              <w:t xml:space="preserve">(według nowej numeracji) </w:t>
            </w:r>
            <w:r w:rsidR="003B1618" w:rsidRPr="000F4E41">
              <w:rPr>
                <w:rFonts w:ascii="Times New Roman" w:hAnsi="Times New Roman"/>
              </w:rPr>
              <w:t>w art. 45 ustawy o statystyce publicznej</w:t>
            </w:r>
            <w:r w:rsidR="002B2608" w:rsidRPr="000F4E41">
              <w:rPr>
                <w:rFonts w:ascii="Times New Roman" w:hAnsi="Times New Roman"/>
              </w:rPr>
              <w:t xml:space="preserve"> (art. 1 pkt 16 projektu ustawy)</w:t>
            </w:r>
            <w:r w:rsidR="00D374B6" w:rsidRPr="000F4E41">
              <w:rPr>
                <w:rFonts w:ascii="Times New Roman" w:hAnsi="Times New Roman"/>
              </w:rPr>
              <w:t>:</w:t>
            </w:r>
          </w:p>
          <w:p w14:paraId="7B62FB84" w14:textId="6FDC42ED" w:rsidR="0009050B" w:rsidRPr="000F4E41" w:rsidRDefault="00E24CEC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lastRenderedPageBreak/>
              <w:t>„1</w:t>
            </w:r>
            <w:r w:rsidR="00147EBC" w:rsidRPr="000F4E41">
              <w:rPr>
                <w:rFonts w:ascii="Times New Roman" w:hAnsi="Times New Roman"/>
                <w:i/>
              </w:rPr>
              <w:t>d</w:t>
            </w:r>
            <w:r w:rsidRPr="000F4E41">
              <w:rPr>
                <w:rFonts w:ascii="Times New Roman" w:hAnsi="Times New Roman"/>
                <w:i/>
              </w:rPr>
              <w:t xml:space="preserve">. W przypadku osób fizycznych prowadzących działalność gospodarczą skreślonych z  rejestru REGON, informacje i dane, o których mowa w ust. 1, są udostępniane przez 10 lat od dnia skreślenia </w:t>
            </w:r>
            <w:r w:rsidR="000030B5" w:rsidRPr="000F4E41">
              <w:rPr>
                <w:rFonts w:ascii="Times New Roman" w:hAnsi="Times New Roman"/>
                <w:i/>
              </w:rPr>
              <w:t>z</w:t>
            </w:r>
            <w:r w:rsidRPr="000F4E41">
              <w:rPr>
                <w:rFonts w:ascii="Times New Roman" w:hAnsi="Times New Roman"/>
                <w:i/>
              </w:rPr>
              <w:t xml:space="preserve"> rejestru.</w:t>
            </w:r>
            <w:r w:rsidR="004846DC" w:rsidRPr="000F4E41">
              <w:rPr>
                <w:rFonts w:ascii="Times New Roman" w:hAnsi="Times New Roman"/>
                <w:i/>
              </w:rPr>
              <w:t>”.</w:t>
            </w:r>
          </w:p>
          <w:p w14:paraId="1F57F5E2" w14:textId="7A7976D7" w:rsidR="00E24CEC" w:rsidRPr="000F4E41" w:rsidRDefault="00E24CEC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D235441" w14:textId="7C9B0B29" w:rsidR="004846DC" w:rsidRPr="000F4E41" w:rsidRDefault="0063407B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art. 45 ustawy o statystyce publicznej z</w:t>
            </w:r>
            <w:r w:rsidR="004846DC" w:rsidRPr="000F4E41">
              <w:rPr>
                <w:rFonts w:ascii="Times New Roman" w:hAnsi="Times New Roman"/>
              </w:rPr>
              <w:t>aproponowano nowe brzmienie ust. 3b</w:t>
            </w:r>
            <w:r w:rsidR="00AB1820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oraz dodanie ust.</w:t>
            </w:r>
            <w:r w:rsidR="00AB1820" w:rsidRPr="000F4E41">
              <w:rPr>
                <w:rFonts w:ascii="Times New Roman" w:hAnsi="Times New Roman"/>
              </w:rPr>
              <w:t xml:space="preserve"> 3c</w:t>
            </w:r>
            <w:r w:rsidR="002B2608" w:rsidRPr="000F4E41">
              <w:rPr>
                <w:rFonts w:ascii="Times New Roman" w:hAnsi="Times New Roman"/>
              </w:rPr>
              <w:t xml:space="preserve"> (art. 1 pkt 16 projektu ustawy)</w:t>
            </w:r>
            <w:r w:rsidR="004846DC" w:rsidRPr="000F4E41">
              <w:rPr>
                <w:rFonts w:ascii="Times New Roman" w:hAnsi="Times New Roman"/>
              </w:rPr>
              <w:t>:</w:t>
            </w:r>
          </w:p>
          <w:p w14:paraId="27E0167E" w14:textId="2B100CC6" w:rsidR="0063407B" w:rsidRPr="000F4E41" w:rsidRDefault="0063407B" w:rsidP="0063407B">
            <w:pPr>
              <w:pStyle w:val="ZLITUSTzmustliter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„3b. Jeżeli udostępnienie danych zawartych w rejestrze REGON dla celów, o których mowa w ust. 3a, wymaga poniesienia dodatkowych nakładów lub wysiłku wiążącego się z dodatkowymi kosztami, dane te udostępnia się pod warunkiem uiszczenia przez wnioskodawcę opłaty w wysokości odpowiadającej tym nakładom lub kosztom.</w:t>
            </w:r>
          </w:p>
          <w:p w14:paraId="5ACBB7BD" w14:textId="77777777" w:rsidR="0063407B" w:rsidRPr="000F4E41" w:rsidRDefault="0063407B" w:rsidP="0063407B">
            <w:pPr>
              <w:pStyle w:val="ZLITUSTzmustliter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3c. Wnioskodawca jest powiadamiany, w terminie 14 dni od dnia złożenia wniosku, o wysokości opłaty, o której mowa w ust. 3b. Realizacja zamówienia odpłatnego następuje po pisemnej akceptacji przez wnioskodawcę wysokości tej opłaty.”;</w:t>
            </w:r>
          </w:p>
          <w:p w14:paraId="19C30BDE" w14:textId="6E8169CB" w:rsidR="00AA3D19" w:rsidRPr="000F4E41" w:rsidRDefault="00AA3D19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F6002" w:rsidRPr="000F4E41" w14:paraId="74188824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3C615217" w14:textId="54D03D89" w:rsidR="005F6002" w:rsidRPr="000F4E41" w:rsidRDefault="009C1AE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1</w:t>
            </w:r>
            <w:r w:rsidR="00C1018B">
              <w:rPr>
                <w:rFonts w:ascii="Times New Roman" w:hAnsi="Times New Roman"/>
              </w:rPr>
              <w:t>6</w:t>
            </w:r>
            <w:r w:rsidR="002F44B9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C970FBF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4A4418F5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17 projektu</w:t>
            </w:r>
          </w:p>
          <w:p w14:paraId="317E5189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46 ustawy o statystyce publicznej)</w:t>
            </w:r>
          </w:p>
          <w:p w14:paraId="560AC923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76D331C8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Projektowany przepis art. 46 ustawy stanowi, że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Rada Ministrów określi, w drodze rozporządzenia, szczegółowy sposób i metodologię prowadzenia i aktualizacji rejestru REGON oraz wzory formularzy wniosków i zaświadczeń</w:t>
            </w:r>
            <w:r w:rsidRPr="000F4E41">
              <w:rPr>
                <w:rFonts w:ascii="Times New Roman" w:eastAsiaTheme="minorHAnsi" w:hAnsi="Times New Roman"/>
              </w:rPr>
              <w:t xml:space="preserve">. Mając na względzie zasadę określoności przepisów prawa, mimo że w obecnym brzmieniu art. 46 ustawy </w:t>
            </w:r>
            <w:r w:rsidRPr="000F4E41">
              <w:rPr>
                <w:rFonts w:ascii="Times New Roman" w:hAnsi="Times New Roman"/>
                <w:b/>
              </w:rPr>
              <w:t>brak jest takiego doprecyzowania, przepis ten wymaga doprecyzowania o wskazanie, jakich wniosków i zaświadczeń ma dotyczyć ta regulacja</w:t>
            </w:r>
            <w:r w:rsidRPr="000F4E41">
              <w:rPr>
                <w:rFonts w:ascii="Times New Roman" w:eastAsiaTheme="minorHAnsi" w:hAnsi="Times New Roman"/>
                <w:b/>
              </w:rPr>
              <w:t>.</w:t>
            </w:r>
          </w:p>
        </w:tc>
        <w:tc>
          <w:tcPr>
            <w:tcW w:w="5103" w:type="dxa"/>
          </w:tcPr>
          <w:p w14:paraId="1F29BF58" w14:textId="77777777" w:rsidR="00030C40" w:rsidRPr="000F4E41" w:rsidRDefault="0011758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uwzględniona </w:t>
            </w:r>
          </w:p>
          <w:p w14:paraId="497B637D" w14:textId="77777777" w:rsidR="0086387C" w:rsidRPr="000F4E41" w:rsidRDefault="0086387C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5EA5620" w14:textId="20A18046" w:rsidR="0011758E" w:rsidRPr="000F4E41" w:rsidRDefault="00D03934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Zaproponowano nowe brzmienie</w:t>
            </w:r>
            <w:r w:rsidR="00282A78" w:rsidRPr="000F4E41">
              <w:rPr>
                <w:rFonts w:ascii="Times New Roman" w:hAnsi="Times New Roman"/>
              </w:rPr>
              <w:t xml:space="preserve"> art. 46</w:t>
            </w:r>
            <w:r w:rsidR="002B2608" w:rsidRPr="000F4E41">
              <w:rPr>
                <w:rFonts w:ascii="Times New Roman" w:hAnsi="Times New Roman"/>
              </w:rPr>
              <w:t xml:space="preserve"> (art. 1 pkt 18 projektu ustawy)</w:t>
            </w:r>
            <w:r w:rsidR="00282A78" w:rsidRPr="000F4E41">
              <w:rPr>
                <w:rFonts w:ascii="Times New Roman" w:hAnsi="Times New Roman"/>
              </w:rPr>
              <w:t>:</w:t>
            </w:r>
          </w:p>
          <w:p w14:paraId="71EC7C0D" w14:textId="77777777" w:rsidR="003E46A7" w:rsidRPr="000F4E41" w:rsidRDefault="003E46A7" w:rsidP="003E46A7">
            <w:pPr>
              <w:pStyle w:val="ZARTzmartartykuempunktem"/>
              <w:spacing w:line="240" w:lineRule="auto"/>
              <w:ind w:left="0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„</w:t>
            </w:r>
            <w:r w:rsidRPr="000F4E4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Art. 46.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1. Rada Ministrów określi, w drodze rozporządzenia:</w:t>
            </w:r>
          </w:p>
          <w:p w14:paraId="185FEF45" w14:textId="77777777" w:rsidR="003E46A7" w:rsidRPr="000F4E41" w:rsidRDefault="003E46A7" w:rsidP="006602FF">
            <w:pPr>
              <w:pStyle w:val="ZPKTzmpktartykuempunktem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szczegółowy sposób i metodologię prowadzenia i aktualizacji rejestru REGON;</w:t>
            </w:r>
          </w:p>
          <w:p w14:paraId="336AD6F3" w14:textId="77777777" w:rsidR="003E46A7" w:rsidRPr="000F4E41" w:rsidRDefault="003E46A7" w:rsidP="006602FF">
            <w:pPr>
              <w:pStyle w:val="ZPKTzmpktartykuempunktem"/>
              <w:numPr>
                <w:ilvl w:val="0"/>
                <w:numId w:val="31"/>
              </w:numPr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wzory formularzy:</w:t>
            </w:r>
          </w:p>
          <w:p w14:paraId="24C4FA8D" w14:textId="77777777" w:rsidR="003E46A7" w:rsidRPr="000F4E41" w:rsidRDefault="003E46A7" w:rsidP="006602FF">
            <w:pPr>
              <w:pStyle w:val="ZLITwPKTzmlitwpktartykuempunktem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wniosków o wpis, o zmianę cech objętych wpisem oraz o skreślenie wpisu w rejestrze REGON,</w:t>
            </w:r>
          </w:p>
          <w:p w14:paraId="33CCB7A2" w14:textId="77777777" w:rsidR="003E46A7" w:rsidRPr="000F4E41" w:rsidRDefault="003E46A7" w:rsidP="006602FF">
            <w:pPr>
              <w:pStyle w:val="ZLITwPKTzmlitwpktartykuempunktem"/>
              <w:numPr>
                <w:ilvl w:val="0"/>
                <w:numId w:val="33"/>
              </w:numPr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zaświadczeń o nadanym numerze identyfikacyjnym REGON.</w:t>
            </w:r>
          </w:p>
          <w:p w14:paraId="4FAD9579" w14:textId="77777777" w:rsidR="003E46A7" w:rsidRPr="000F4E41" w:rsidRDefault="003E46A7" w:rsidP="00F633B8">
            <w:pPr>
              <w:pStyle w:val="ZUSTzmustartykuempunktem"/>
              <w:spacing w:line="240" w:lineRule="auto"/>
              <w:ind w:left="0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2. Rada Ministrów, wydając rozporządzenie na podstawie ust. 1, uwzględnia konieczność zapewnienia:</w:t>
            </w:r>
          </w:p>
          <w:p w14:paraId="514C11B5" w14:textId="77777777" w:rsidR="003E46A7" w:rsidRPr="000F4E41" w:rsidRDefault="003E46A7" w:rsidP="006602FF">
            <w:pPr>
              <w:pStyle w:val="ZLITzmlitartykuempunktem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lastRenderedPageBreak/>
              <w:t>kompletności oraz aktualizacji danych gromadzonych w rejestrze REGON;</w:t>
            </w:r>
          </w:p>
          <w:p w14:paraId="6E5022EB" w14:textId="03ADC9B3" w:rsidR="003E46A7" w:rsidRPr="000F4E41" w:rsidRDefault="003E46A7" w:rsidP="006602FF">
            <w:pPr>
              <w:pStyle w:val="ZLITzmlitartykuempunktem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przejrzystości formularzy wniosków i zaświadczeń</w:t>
            </w:r>
            <w:r w:rsidR="00C56A2D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oraz 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łatwości ich wypełniania;</w:t>
            </w:r>
          </w:p>
          <w:p w14:paraId="6EE8CD4A" w14:textId="73140705" w:rsidR="00030C40" w:rsidRPr="000F4E41" w:rsidRDefault="003E46A7" w:rsidP="006602FF">
            <w:pPr>
              <w:pStyle w:val="ZLITzmlitartykuempunktem"/>
              <w:numPr>
                <w:ilvl w:val="0"/>
                <w:numId w:val="32"/>
              </w:numPr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kompletności danych wymagających wpisania w dokumentach, o których mowa w ust. 1 pkt 2, przy jednoczesnym ograniczeniu tych danych do niezbędnego minimum.”.</w:t>
            </w:r>
          </w:p>
        </w:tc>
      </w:tr>
      <w:tr w:rsidR="005F6002" w:rsidRPr="000F4E41" w14:paraId="0487C7E4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BFF5424" w14:textId="4342F816" w:rsidR="005F6002" w:rsidRPr="000F4E41" w:rsidRDefault="00445FBD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  <w:r w:rsidR="00C1018B">
              <w:rPr>
                <w:rFonts w:ascii="Times New Roman" w:hAnsi="Times New Roman"/>
              </w:rPr>
              <w:t>7</w:t>
            </w:r>
            <w:r w:rsidR="005F6002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5D4BA70B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3A543327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19 projektu</w:t>
            </w:r>
          </w:p>
          <w:p w14:paraId="4B3B370F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47f ust. 3 ustawy o statystyce publicznej)</w:t>
            </w:r>
          </w:p>
          <w:p w14:paraId="39BC16C3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7FC20849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Należy wyjaśnić, co ustawodawca rozumie przez weryfikację „na bieżąco” danych systemów rejestru TERYT na podstawie danych zgromadzonych w rejestrach, o których mowa w art. 4 ust. 1a pkt 2, 4 i 6 ustawy z dnia 17 maja 1989 r. – Prawo geodezyjne i kartograficzne oraz określić, jak ta weryfikacja miałaby przebiegać. Zarówno projektowane przepisy jak i uzasadnienie nie zawierają żadnych informacji w powyższym zakresie.</w:t>
            </w:r>
          </w:p>
        </w:tc>
        <w:tc>
          <w:tcPr>
            <w:tcW w:w="5103" w:type="dxa"/>
          </w:tcPr>
          <w:p w14:paraId="58BE8743" w14:textId="4D99B5CD" w:rsidR="007F47A6" w:rsidRPr="000F4E41" w:rsidRDefault="007F47A6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</w:p>
          <w:p w14:paraId="1CE04DFF" w14:textId="77777777" w:rsidR="006141D2" w:rsidRPr="000F4E41" w:rsidRDefault="006141D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1C4C35E" w14:textId="488694B8" w:rsidR="005F6002" w:rsidRPr="000F4E41" w:rsidRDefault="007F47A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 xml:space="preserve">Przez weryfikację rozumie się porównanie danych zgromadzonych w rejestrze TERYT </w:t>
            </w:r>
            <w:r w:rsidR="0076636D" w:rsidRPr="000F4E41">
              <w:rPr>
                <w:rFonts w:ascii="Times New Roman" w:hAnsi="Times New Roman"/>
              </w:rPr>
              <w:t>z danymi gromadzonymi we wskazanych w art. 47e ust. 3 źródłach będących podstawą do aktualizacji systemu identyfikacji adresowej budynków i mieszkań</w:t>
            </w:r>
            <w:r w:rsidRPr="000F4E41">
              <w:rPr>
                <w:rFonts w:ascii="Times New Roman" w:hAnsi="Times New Roman"/>
              </w:rPr>
              <w:t>, w tym porównanie z rejestrami wymienionymi w art. 4 ust. 1a pkt 2, 4 i 6 ustawy z dnia 17 maja 1989 r. – Prawo geodezyjne i kartograficzne</w:t>
            </w:r>
            <w:r w:rsidR="0076636D" w:rsidRPr="000F4E41">
              <w:rPr>
                <w:rFonts w:ascii="Times New Roman" w:hAnsi="Times New Roman"/>
              </w:rPr>
              <w:t xml:space="preserve">. </w:t>
            </w:r>
            <w:r w:rsidRPr="000F4E41">
              <w:rPr>
                <w:rFonts w:ascii="Times New Roman" w:hAnsi="Times New Roman"/>
              </w:rPr>
              <w:t xml:space="preserve">W praktyce oznacza to sprawdzenie poprawności i zgodności danych zgromadzonych w rejestrze TERYT z danymi zawartymi w wymienionych rejestrach, dostępnych np. za pośrednictwem </w:t>
            </w:r>
            <w:proofErr w:type="spellStart"/>
            <w:r w:rsidRPr="000F4E41">
              <w:rPr>
                <w:rFonts w:ascii="Times New Roman" w:hAnsi="Times New Roman"/>
              </w:rPr>
              <w:t>geoportalu</w:t>
            </w:r>
            <w:proofErr w:type="spellEnd"/>
            <w:r w:rsidRPr="000F4E41">
              <w:rPr>
                <w:rFonts w:ascii="Times New Roman" w:hAnsi="Times New Roman"/>
              </w:rPr>
              <w:t xml:space="preserve"> krajowego lub portali mapowych jednostek samorządu terytorialnego.</w:t>
            </w:r>
          </w:p>
        </w:tc>
      </w:tr>
      <w:tr w:rsidR="005F6002" w:rsidRPr="000F4E41" w14:paraId="4CA4271C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80C2807" w14:textId="1CBF36DE" w:rsidR="005F6002" w:rsidRPr="000F4E41" w:rsidRDefault="00445FBD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C1018B">
              <w:rPr>
                <w:rFonts w:ascii="Times New Roman" w:hAnsi="Times New Roman"/>
              </w:rPr>
              <w:t>8</w:t>
            </w:r>
            <w:r w:rsidR="006924B4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5688935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066488FB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19 projektu</w:t>
            </w:r>
          </w:p>
          <w:p w14:paraId="59E7A6AD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47h ustawy o statystyce publicznej)</w:t>
            </w:r>
          </w:p>
          <w:p w14:paraId="26F21C1B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312D08CF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Należy określić wprost, na czym ma polegać współpraca Głównego Geodety Kraju z Prezesem Głównego Urzędu Statystycznego w prowadzeniu i aktualizacji rejestru TERYT. Zarówno projektowane przepisy jak i uzasadnienie nie zawierają żadnych informacji w powyższym zakresie. Należy zwrócić uwagę, że przedmiotowa współpraca, w zależności od jej zakresu i charakteru, może powodować konieczność nowelizacji przepisów rozporządzenia Rady Ministrów z dnia 14 października 2022 r. w sprawie zintegrowanego systemu informacji o nieruchomościach (Dz.U. poz. 2469).</w:t>
            </w:r>
          </w:p>
        </w:tc>
        <w:tc>
          <w:tcPr>
            <w:tcW w:w="5103" w:type="dxa"/>
          </w:tcPr>
          <w:p w14:paraId="61497A22" w14:textId="6CA1B638" w:rsidR="006924B4" w:rsidRPr="000F4E41" w:rsidRDefault="006924B4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73EB4817" w14:textId="77777777" w:rsidR="004428AF" w:rsidRPr="000F4E41" w:rsidRDefault="004428AF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36724C2A" w14:textId="1C404A2B" w:rsidR="007F47A6" w:rsidRPr="000F4E41" w:rsidRDefault="007F47A6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związku z uwagą RCL </w:t>
            </w:r>
            <w:r w:rsidR="00D500A5" w:rsidRPr="000F4E41">
              <w:rPr>
                <w:rFonts w:ascii="Times New Roman" w:hAnsi="Times New Roman"/>
              </w:rPr>
              <w:t>(</w:t>
            </w:r>
            <w:r w:rsidR="00CE35CC" w:rsidRPr="000F4E41">
              <w:rPr>
                <w:rFonts w:ascii="Times New Roman" w:hAnsi="Times New Roman"/>
              </w:rPr>
              <w:t>lp.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C1018B">
              <w:rPr>
                <w:rFonts w:ascii="Times New Roman" w:hAnsi="Times New Roman"/>
              </w:rPr>
              <w:t>20</w:t>
            </w:r>
            <w:r w:rsidR="00D500A5" w:rsidRPr="000F4E41">
              <w:rPr>
                <w:rFonts w:ascii="Times New Roman" w:hAnsi="Times New Roman"/>
              </w:rPr>
              <w:t>)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D500A5" w:rsidRPr="000F4E41">
              <w:rPr>
                <w:rFonts w:ascii="Times New Roman" w:hAnsi="Times New Roman"/>
              </w:rPr>
              <w:t>treść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D500A5" w:rsidRPr="000F4E41">
              <w:rPr>
                <w:rFonts w:ascii="Times New Roman" w:hAnsi="Times New Roman"/>
              </w:rPr>
              <w:t xml:space="preserve">dotychczasowego </w:t>
            </w:r>
            <w:r w:rsidRPr="000F4E41">
              <w:rPr>
                <w:rFonts w:ascii="Times New Roman" w:hAnsi="Times New Roman"/>
              </w:rPr>
              <w:t xml:space="preserve">art. 47h </w:t>
            </w:r>
            <w:r w:rsidR="002B2608" w:rsidRPr="000F4E41">
              <w:rPr>
                <w:rFonts w:ascii="Times New Roman" w:hAnsi="Times New Roman"/>
              </w:rPr>
              <w:t>została</w:t>
            </w:r>
            <w:r w:rsidRPr="000F4E41">
              <w:rPr>
                <w:rFonts w:ascii="Times New Roman" w:hAnsi="Times New Roman"/>
              </w:rPr>
              <w:t xml:space="preserve"> przeredagowan</w:t>
            </w:r>
            <w:r w:rsidR="00D500A5" w:rsidRPr="000F4E41">
              <w:rPr>
                <w:rFonts w:ascii="Times New Roman" w:hAnsi="Times New Roman"/>
              </w:rPr>
              <w:t>a</w:t>
            </w:r>
            <w:r w:rsidRPr="000F4E41">
              <w:rPr>
                <w:rFonts w:ascii="Times New Roman" w:hAnsi="Times New Roman"/>
              </w:rPr>
              <w:t>, doprecyzowan</w:t>
            </w:r>
            <w:r w:rsidR="00D500A5" w:rsidRPr="000F4E41">
              <w:rPr>
                <w:rFonts w:ascii="Times New Roman" w:hAnsi="Times New Roman"/>
              </w:rPr>
              <w:t>a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3C1A02" w:rsidRPr="000F4E41">
              <w:rPr>
                <w:rFonts w:ascii="Times New Roman" w:hAnsi="Times New Roman"/>
              </w:rPr>
              <w:t xml:space="preserve">oraz </w:t>
            </w:r>
            <w:r w:rsidRPr="000F4E41">
              <w:rPr>
                <w:rFonts w:ascii="Times New Roman" w:hAnsi="Times New Roman"/>
              </w:rPr>
              <w:t>przeniesion</w:t>
            </w:r>
            <w:r w:rsidR="00D500A5" w:rsidRPr="000F4E41">
              <w:rPr>
                <w:rFonts w:ascii="Times New Roman" w:hAnsi="Times New Roman"/>
              </w:rPr>
              <w:t>a</w:t>
            </w:r>
            <w:r w:rsidRPr="000F4E41">
              <w:rPr>
                <w:rFonts w:ascii="Times New Roman" w:hAnsi="Times New Roman"/>
              </w:rPr>
              <w:t xml:space="preserve"> do art. 3 </w:t>
            </w:r>
            <w:r w:rsidR="002B2608" w:rsidRPr="000F4E41">
              <w:rPr>
                <w:rFonts w:ascii="Times New Roman" w:hAnsi="Times New Roman"/>
              </w:rPr>
              <w:t xml:space="preserve">pkt 1 </w:t>
            </w:r>
            <w:r w:rsidRPr="000F4E41">
              <w:rPr>
                <w:rFonts w:ascii="Times New Roman" w:hAnsi="Times New Roman"/>
              </w:rPr>
              <w:t>projektu ustawy</w:t>
            </w:r>
            <w:r w:rsidR="00D500A5" w:rsidRPr="000F4E41">
              <w:rPr>
                <w:rFonts w:ascii="Times New Roman" w:hAnsi="Times New Roman"/>
              </w:rPr>
              <w:t xml:space="preserve"> – przepis ten </w:t>
            </w:r>
            <w:r w:rsidR="002B2608" w:rsidRPr="000F4E41">
              <w:rPr>
                <w:rFonts w:ascii="Times New Roman" w:hAnsi="Times New Roman"/>
              </w:rPr>
              <w:t>jest dodawany</w:t>
            </w:r>
            <w:r w:rsidR="00D500A5" w:rsidRPr="000F4E41">
              <w:rPr>
                <w:rFonts w:ascii="Times New Roman" w:hAnsi="Times New Roman"/>
              </w:rPr>
              <w:t xml:space="preserve"> do</w:t>
            </w:r>
            <w:r w:rsidR="003C1A02" w:rsidRPr="000F4E41">
              <w:rPr>
                <w:rFonts w:ascii="Times New Roman" w:hAnsi="Times New Roman"/>
              </w:rPr>
              <w:t xml:space="preserve"> ustaw</w:t>
            </w:r>
            <w:r w:rsidR="00D500A5" w:rsidRPr="000F4E41">
              <w:rPr>
                <w:rFonts w:ascii="Times New Roman" w:hAnsi="Times New Roman"/>
              </w:rPr>
              <w:t xml:space="preserve">y – </w:t>
            </w:r>
            <w:r w:rsidR="003C1A02" w:rsidRPr="000F4E41">
              <w:rPr>
                <w:rFonts w:ascii="Times New Roman" w:hAnsi="Times New Roman"/>
              </w:rPr>
              <w:t xml:space="preserve"> Prawo geodezyjne i kartograficzne</w:t>
            </w:r>
            <w:r w:rsidRPr="000F4E41">
              <w:rPr>
                <w:rFonts w:ascii="Times New Roman" w:hAnsi="Times New Roman"/>
              </w:rPr>
              <w:t xml:space="preserve">. </w:t>
            </w:r>
          </w:p>
          <w:p w14:paraId="27B7AE3D" w14:textId="6380C066" w:rsidR="005F6002" w:rsidRPr="000F4E41" w:rsidRDefault="007F47A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>Przepis w nowym brzmieniu nie będzie uwzględniał wskazania na zintegrowany system informacji o nieruchomościach, w związku z czym nie będzie miał wpływu na przepisy rozporządzenia w sprawie ZSIN.</w:t>
            </w:r>
            <w:r w:rsidR="003502B5" w:rsidRPr="000F4E41">
              <w:rPr>
                <w:rFonts w:ascii="Times New Roman" w:hAnsi="Times New Roman"/>
              </w:rPr>
              <w:t xml:space="preserve"> Propozycja nowego brzmienia przepisu została </w:t>
            </w:r>
            <w:r w:rsidR="00082E21" w:rsidRPr="000F4E41">
              <w:rPr>
                <w:rFonts w:ascii="Times New Roman" w:hAnsi="Times New Roman"/>
              </w:rPr>
              <w:t>uzgodniona z Głównym Urzędem Geodezji i Kartografii</w:t>
            </w:r>
            <w:r w:rsidR="003502B5" w:rsidRPr="000F4E41">
              <w:rPr>
                <w:rFonts w:ascii="Times New Roman" w:hAnsi="Times New Roman"/>
              </w:rPr>
              <w:t>.</w:t>
            </w:r>
          </w:p>
        </w:tc>
      </w:tr>
      <w:tr w:rsidR="005F6002" w:rsidRPr="000F4E41" w14:paraId="26B8709E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507D4BEA" w14:textId="7A4E1EC5" w:rsidR="005F6002" w:rsidRPr="009A64AB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19</w:t>
            </w:r>
            <w:r w:rsidR="006924B4" w:rsidRPr="009A64AB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1D63BAD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MC</w:t>
            </w:r>
          </w:p>
        </w:tc>
        <w:tc>
          <w:tcPr>
            <w:tcW w:w="2410" w:type="dxa"/>
            <w:shd w:val="clear" w:color="auto" w:fill="auto"/>
          </w:tcPr>
          <w:p w14:paraId="42BC5CB9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19 projektu</w:t>
            </w:r>
          </w:p>
          <w:p w14:paraId="4F3E0F3B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art. 47j </w:t>
            </w:r>
            <w:r w:rsidRPr="000F4E41">
              <w:rPr>
                <w:rFonts w:ascii="Times New Roman" w:hAnsi="Times New Roman"/>
              </w:rPr>
              <w:br/>
              <w:t>ustawy o statystyce publicznej)</w:t>
            </w:r>
          </w:p>
          <w:p w14:paraId="1ADB2519" w14:textId="77777777" w:rsidR="005F6002" w:rsidRPr="000F4E41" w:rsidRDefault="005F6002" w:rsidP="007214C3">
            <w:pPr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642B01AD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Proponuje się w art. 1 pkt 19 w zakresie dodawanego art. 47j projektu ustawy nadać przedmiotowemu przepisowi następujące brzmienie:</w:t>
            </w:r>
          </w:p>
          <w:p w14:paraId="60EC42A1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</w:rPr>
            </w:pPr>
            <w:bookmarkStart w:id="12" w:name="_Hlk164694692"/>
            <w:r w:rsidRPr="000F4E41">
              <w:rPr>
                <w:rFonts w:ascii="Times New Roman" w:eastAsiaTheme="minorHAnsi" w:hAnsi="Times New Roman"/>
              </w:rPr>
              <w:t>„Art. 47j. Minister właściwy do spraw informatyzacji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, na wniosek Prezesa Głównego Urzędu Statystycznego, w celu aktualizacji rejestru TERYT, udostępnia </w:t>
            </w:r>
            <w:r w:rsidRPr="000F4E41">
              <w:rPr>
                <w:rFonts w:ascii="Times New Roman" w:eastAsiaTheme="minorHAnsi" w:hAnsi="Times New Roman"/>
              </w:rPr>
              <w:t>w podziale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na jednostki podziału terytorialnego informacje o adresach zameldowania na pobyt stały</w:t>
            </w:r>
          </w:p>
          <w:p w14:paraId="62C51332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i czasowy osób fizycznych występujących w rejestrze PESEL, o którym mowa w art. 3 ustawy z dnia 24 września 2010 r. o ewidencji ludności (Dz. U. z 2022 r. poz. 1191 oraz z 2023 r. poz. 497, 1394 i 1941), z wyłączeniem danych osobowych.”.</w:t>
            </w:r>
          </w:p>
          <w:bookmarkEnd w:id="12"/>
          <w:p w14:paraId="3D7E56E8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Przepis w brzmieniu zaproponowanym przez projektodawcę nakłada na ministra właściwego do spraw informatyzacji obowiązek współpracy z Prezesem Głównego Urzędu Statystycznego w nieokreślonym zakresie przy realizacji obowiązku prowadzenia</w:t>
            </w:r>
          </w:p>
          <w:p w14:paraId="32D8D1C8" w14:textId="4C1561E2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i aktualizacji rejestru TERYT. Określenie „w szczególności” oznacza, że katalog czynności jakie minister właściwy do spraw informatyzacji zobowiązany jest podejmować jest </w:t>
            </w:r>
            <w:r w:rsidR="006924B4" w:rsidRPr="000F4E41">
              <w:rPr>
                <w:rFonts w:ascii="Times New Roman" w:eastAsiaTheme="minorHAnsi" w:hAnsi="Times New Roman"/>
              </w:rPr>
              <w:t>o</w:t>
            </w:r>
            <w:r w:rsidRPr="000F4E41">
              <w:rPr>
                <w:rFonts w:ascii="Times New Roman" w:eastAsiaTheme="minorHAnsi" w:hAnsi="Times New Roman"/>
              </w:rPr>
              <w:t>twarty, a udostępnienie informacji o adresach zameldowania jest jedynie przykładem sposobu realizacji tego obowiązku. Przepis też nie określa w jakim trybie i formie Prezes Głównego Urzędu Statystycznego i minister właściwy do spraw informatyzacji współpracują ze sobą w prowadzeniu i aktualizacji rejestru TERYT. Jednocześnie z uzasadnienia do projektu wynika, że tylko ten konkretny zakres danych (o adresach zameldowania) jest istotny z punktu widzenia wykorzystania danych rejestru TERYT</w:t>
            </w:r>
          </w:p>
          <w:p w14:paraId="42F4B4C8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systemach do prowadzenia ewidencji ludności.</w:t>
            </w:r>
          </w:p>
          <w:p w14:paraId="40C82F4D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Mając to na uwadze proponuje się zmianę brzmienia przepisu w ten sposób, że minister właściwy do spraw informatyzacji obowiązany jest udostępnić, na wniosek Prezesa Głównego Urzędu Statystycznego, informacje o adresach zameldowania na pobyt stały i czasowy osób fizycznych występujących w rejestrze PESEL, z wyłączeniem danych</w:t>
            </w:r>
            <w:r w:rsidR="009A04E4" w:rsidRPr="000F4E41">
              <w:rPr>
                <w:rFonts w:ascii="Times New Roman" w:eastAsiaTheme="minorHAnsi" w:hAnsi="Times New Roman"/>
              </w:rPr>
              <w:t xml:space="preserve"> </w:t>
            </w:r>
          </w:p>
          <w:p w14:paraId="5ACB8439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osobowych.</w:t>
            </w:r>
          </w:p>
        </w:tc>
        <w:tc>
          <w:tcPr>
            <w:tcW w:w="5103" w:type="dxa"/>
          </w:tcPr>
          <w:p w14:paraId="1BF797EC" w14:textId="77777777" w:rsidR="005F6002" w:rsidRPr="000F4E41" w:rsidRDefault="007F47A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08253774" w14:textId="77777777" w:rsidR="00D526A4" w:rsidRPr="000F4E41" w:rsidRDefault="00D526A4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8E22566" w14:textId="584A59AE" w:rsidR="00D526A4" w:rsidRPr="000F4E41" w:rsidRDefault="00D526A4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art. 1 pkt 20 projektu zaproponowano dodanie art. 47</w:t>
            </w:r>
            <w:r w:rsidR="00A05DFF" w:rsidRPr="000F4E41">
              <w:rPr>
                <w:rFonts w:ascii="Times New Roman" w:hAnsi="Times New Roman"/>
              </w:rPr>
              <w:t>i</w:t>
            </w:r>
            <w:r w:rsidRPr="000F4E41">
              <w:rPr>
                <w:rFonts w:ascii="Times New Roman" w:hAnsi="Times New Roman"/>
              </w:rPr>
              <w:t xml:space="preserve"> ustawy o statystyce publicznej (według nowej numeracji) w brzmieniu:</w:t>
            </w:r>
          </w:p>
          <w:p w14:paraId="26C1A8F3" w14:textId="5E97E5D2" w:rsidR="00D526A4" w:rsidRPr="000F4E41" w:rsidRDefault="00D526A4" w:rsidP="00D5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Cs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„</w:t>
            </w:r>
            <w:r w:rsidRPr="000F4E41">
              <w:rPr>
                <w:rFonts w:ascii="Times New Roman" w:eastAsiaTheme="minorHAnsi" w:hAnsi="Times New Roman"/>
                <w:b/>
                <w:i/>
              </w:rPr>
              <w:t>Art. 47</w:t>
            </w:r>
            <w:r w:rsidR="00A05DFF" w:rsidRPr="000F4E41">
              <w:rPr>
                <w:rFonts w:ascii="Times New Roman" w:eastAsiaTheme="minorHAnsi" w:hAnsi="Times New Roman"/>
                <w:b/>
                <w:i/>
              </w:rPr>
              <w:t>i</w:t>
            </w:r>
            <w:r w:rsidRPr="000F4E41">
              <w:rPr>
                <w:rFonts w:ascii="Times New Roman" w:eastAsiaTheme="minorHAnsi" w:hAnsi="Times New Roman"/>
                <w:b/>
                <w:i/>
              </w:rPr>
              <w:t>.</w:t>
            </w:r>
            <w:r w:rsidRPr="000F4E41">
              <w:rPr>
                <w:rFonts w:ascii="Times New Roman" w:eastAsiaTheme="minorHAnsi" w:hAnsi="Times New Roman"/>
                <w:i/>
              </w:rPr>
              <w:t xml:space="preserve"> Minister właściwy do spraw informatyzacji</w:t>
            </w:r>
            <w:r w:rsidRPr="000F4E41">
              <w:rPr>
                <w:rFonts w:ascii="Times New Roman" w:eastAsiaTheme="minorHAnsi" w:hAnsi="Times New Roman"/>
                <w:bCs/>
                <w:i/>
              </w:rPr>
              <w:t xml:space="preserve">, na wniosek Prezesa Głównego Urzędu Statystycznego, w celu aktualizacji rejestru TERYT, udostępnia </w:t>
            </w:r>
            <w:r w:rsidRPr="000F4E41">
              <w:rPr>
                <w:rFonts w:ascii="Times New Roman" w:eastAsiaTheme="minorHAnsi" w:hAnsi="Times New Roman"/>
                <w:i/>
              </w:rPr>
              <w:t>w podziale</w:t>
            </w:r>
            <w:r w:rsidRPr="000F4E41">
              <w:rPr>
                <w:rFonts w:ascii="Times New Roman" w:eastAsiaTheme="minorHAnsi" w:hAnsi="Times New Roman"/>
                <w:bCs/>
                <w:i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</w:rPr>
              <w:t>na jednostki podziału terytorialnego informacje o adresach zameldowania na pobyt stały</w:t>
            </w:r>
          </w:p>
          <w:p w14:paraId="6E7B4585" w14:textId="6ECC143E" w:rsidR="00D526A4" w:rsidRPr="000F4E41" w:rsidRDefault="00D526A4" w:rsidP="00D526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0F4E41">
              <w:rPr>
                <w:rFonts w:ascii="Times New Roman" w:eastAsiaTheme="minorHAnsi" w:hAnsi="Times New Roman"/>
                <w:i/>
              </w:rPr>
              <w:t>i czasowy osób fizycznych występujących w rejestrze PESEL, o którym mowa w art. 3 ustawy z dnia 24 września 2010 r. o ewidencji ludności (Dz. U. z 202</w:t>
            </w:r>
            <w:r w:rsidR="00F1138A">
              <w:rPr>
                <w:rFonts w:ascii="Times New Roman" w:eastAsiaTheme="minorHAnsi" w:hAnsi="Times New Roman"/>
                <w:i/>
              </w:rPr>
              <w:t>4</w:t>
            </w:r>
            <w:r w:rsidRPr="000F4E41">
              <w:rPr>
                <w:rFonts w:ascii="Times New Roman" w:eastAsiaTheme="minorHAnsi" w:hAnsi="Times New Roman"/>
                <w:i/>
              </w:rPr>
              <w:t xml:space="preserve"> r. poz. </w:t>
            </w:r>
            <w:r w:rsidR="00F1138A">
              <w:rPr>
                <w:rFonts w:ascii="Times New Roman" w:eastAsiaTheme="minorHAnsi" w:hAnsi="Times New Roman"/>
                <w:i/>
              </w:rPr>
              <w:t>736</w:t>
            </w:r>
            <w:r w:rsidRPr="000F4E41">
              <w:rPr>
                <w:rFonts w:ascii="Times New Roman" w:eastAsiaTheme="minorHAnsi" w:hAnsi="Times New Roman"/>
                <w:i/>
              </w:rPr>
              <w:t>), z wyłączeniem danych osobowych.”.</w:t>
            </w:r>
          </w:p>
          <w:p w14:paraId="4C9C6416" w14:textId="56EFCEEC" w:rsidR="00D526A4" w:rsidRPr="000F4E41" w:rsidRDefault="00D526A4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F6002" w:rsidRPr="000F4E41" w14:paraId="5B05EEC3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CC521F6" w14:textId="04768B07" w:rsidR="005F6002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</w:t>
            </w:r>
            <w:r w:rsidR="006924B4" w:rsidRPr="009A64AB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01B49591" w14:textId="77777777" w:rsidR="005F6002" w:rsidRPr="000F4E41" w:rsidRDefault="005F6002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07DA7BD3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19 projektu</w:t>
            </w:r>
          </w:p>
          <w:p w14:paraId="63CCFE35" w14:textId="77777777" w:rsidR="005F6002" w:rsidRPr="000F4E41" w:rsidRDefault="005F600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47h-47j ustawy o statystyce publicznej)</w:t>
            </w:r>
          </w:p>
          <w:p w14:paraId="4A411CB2" w14:textId="77777777" w:rsidR="005F6002" w:rsidRPr="000F4E41" w:rsidRDefault="005F6002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3EF6C755" w14:textId="77777777" w:rsidR="005F6002" w:rsidRPr="000F4E41" w:rsidRDefault="005F6002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Obowiązki organów administracji geodezyjnej i kartograficznej (projektowany art. 47h ustawy) oraz organów nadzoru budowlanego (projektowany art. 47i ustawy) w zakresie współpracy i przekazywania Prezesowi Głównego Urzędu Statystycznego danych wykorzystywanych do prowadzenia i aktualizacji systemów objętych rejestrem TERYT powinny zostać wprowadzone we właściwych ustawach regulujących kompetencje tych podmiotów, z którymi związane jest „posiadanie” tych danych. Ponadto w projekcie brak jest regulacji określającej zasady współpracy Głównego Geodety Kraju z Prezesem Głównego Urzędu Statystycznego w prowadzeniu i aktualizacji rejestru TERYT, natomiast zasady takiej współpracy określono dla organów nadzoru budowlanego (dodawany art. 47i) oraz dla ministra właściwego do spraw informatyzacji (dodawany art. 47j). Dlatego też projekt w omawianym zakresie wymaga uzupełnienia.</w:t>
            </w:r>
          </w:p>
        </w:tc>
        <w:tc>
          <w:tcPr>
            <w:tcW w:w="5103" w:type="dxa"/>
          </w:tcPr>
          <w:p w14:paraId="4CC84998" w14:textId="5C9A776B" w:rsidR="006924B4" w:rsidRPr="000F4E41" w:rsidRDefault="006924B4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</w:t>
            </w:r>
            <w:r w:rsidR="009C59F8" w:rsidRPr="000F4E41">
              <w:rPr>
                <w:rFonts w:ascii="Times New Roman" w:hAnsi="Times New Roman"/>
                <w:b/>
              </w:rPr>
              <w:t xml:space="preserve">częściowo </w:t>
            </w:r>
            <w:r w:rsidRPr="000F4E41">
              <w:rPr>
                <w:rFonts w:ascii="Times New Roman" w:hAnsi="Times New Roman"/>
                <w:b/>
              </w:rPr>
              <w:t>uwzględniona</w:t>
            </w:r>
          </w:p>
          <w:p w14:paraId="3A0FBFB8" w14:textId="77777777" w:rsidR="006924B4" w:rsidRPr="000F4E41" w:rsidRDefault="006924B4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C4EF67F" w14:textId="4BD898B4" w:rsidR="00D500A5" w:rsidRPr="000F4E41" w:rsidRDefault="00D500A5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Treść dotychczasowego art. 47h </w:t>
            </w:r>
            <w:r w:rsidR="00EE40F6" w:rsidRPr="000F4E41">
              <w:rPr>
                <w:rFonts w:ascii="Times New Roman" w:hAnsi="Times New Roman"/>
              </w:rPr>
              <w:t>została</w:t>
            </w:r>
            <w:r w:rsidRPr="000F4E41">
              <w:rPr>
                <w:rFonts w:ascii="Times New Roman" w:hAnsi="Times New Roman"/>
              </w:rPr>
              <w:t xml:space="preserve"> doprecyzowana oraz przeniesiona do art. 3 </w:t>
            </w:r>
            <w:r w:rsidR="009C6512" w:rsidRPr="000F4E41">
              <w:rPr>
                <w:rFonts w:ascii="Times New Roman" w:hAnsi="Times New Roman"/>
              </w:rPr>
              <w:t xml:space="preserve">pkt 1 lit. b </w:t>
            </w:r>
            <w:r w:rsidRPr="000F4E41">
              <w:rPr>
                <w:rFonts w:ascii="Times New Roman" w:hAnsi="Times New Roman"/>
              </w:rPr>
              <w:t>projektu ustawy – przepis ten zosta</w:t>
            </w:r>
            <w:r w:rsidR="009C6512" w:rsidRPr="000F4E41">
              <w:rPr>
                <w:rFonts w:ascii="Times New Roman" w:hAnsi="Times New Roman"/>
              </w:rPr>
              <w:t>ł</w:t>
            </w:r>
            <w:r w:rsidRPr="000F4E41">
              <w:rPr>
                <w:rFonts w:ascii="Times New Roman" w:hAnsi="Times New Roman"/>
              </w:rPr>
              <w:t xml:space="preserve"> dodany do ustawy –  Prawo geodezyjne i kartograficzne. </w:t>
            </w:r>
          </w:p>
          <w:p w14:paraId="3AE598AA" w14:textId="77777777" w:rsidR="00F338D7" w:rsidRPr="000F4E41" w:rsidRDefault="00F338D7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151E97F7" w14:textId="728796CA" w:rsidR="00F338D7" w:rsidRPr="000F4E41" w:rsidRDefault="00F338D7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związku z uwagą </w:t>
            </w: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 xml:space="preserve"> (</w:t>
            </w:r>
            <w:r w:rsidR="00B86AF3" w:rsidRPr="000F4E41">
              <w:rPr>
                <w:rFonts w:ascii="Times New Roman" w:hAnsi="Times New Roman"/>
              </w:rPr>
              <w:t>lp</w:t>
            </w:r>
            <w:r w:rsidRPr="000F4E41">
              <w:rPr>
                <w:rFonts w:ascii="Times New Roman" w:hAnsi="Times New Roman"/>
              </w:rPr>
              <w:t xml:space="preserve">. </w:t>
            </w:r>
            <w:r w:rsidR="00C1018B">
              <w:rPr>
                <w:rFonts w:ascii="Times New Roman" w:hAnsi="Times New Roman"/>
              </w:rPr>
              <w:t>18</w:t>
            </w:r>
            <w:r w:rsidRPr="000F4E41">
              <w:rPr>
                <w:rFonts w:ascii="Times New Roman" w:hAnsi="Times New Roman"/>
              </w:rPr>
              <w:t xml:space="preserve">) w art. 3 pkt </w:t>
            </w:r>
            <w:r w:rsidR="00CB2BCF" w:rsidRPr="000F4E41">
              <w:rPr>
                <w:rFonts w:ascii="Times New Roman" w:hAnsi="Times New Roman"/>
              </w:rPr>
              <w:t>1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EE6564" w:rsidRPr="000F4E41">
              <w:rPr>
                <w:rFonts w:ascii="Times New Roman" w:hAnsi="Times New Roman"/>
              </w:rPr>
              <w:t xml:space="preserve">projektu ustawy </w:t>
            </w:r>
            <w:r w:rsidR="00CB2BCF" w:rsidRPr="000F4E41">
              <w:rPr>
                <w:rFonts w:ascii="Times New Roman" w:hAnsi="Times New Roman"/>
              </w:rPr>
              <w:t xml:space="preserve">dotychczasowa treść </w:t>
            </w:r>
            <w:r w:rsidR="009C6512" w:rsidRPr="000F4E41">
              <w:rPr>
                <w:rFonts w:ascii="Times New Roman" w:hAnsi="Times New Roman"/>
              </w:rPr>
              <w:t>tego przepisu została</w:t>
            </w:r>
            <w:r w:rsidR="00CB2BCF" w:rsidRPr="000F4E41">
              <w:rPr>
                <w:rFonts w:ascii="Times New Roman" w:hAnsi="Times New Roman"/>
              </w:rPr>
              <w:t xml:space="preserve"> </w:t>
            </w:r>
            <w:r w:rsidR="009C6512" w:rsidRPr="000F4E41">
              <w:rPr>
                <w:rFonts w:ascii="Times New Roman" w:hAnsi="Times New Roman"/>
              </w:rPr>
              <w:t>oznaczona jako</w:t>
            </w:r>
            <w:r w:rsidR="00CB2BCF" w:rsidRPr="000F4E41">
              <w:rPr>
                <w:rFonts w:ascii="Times New Roman" w:hAnsi="Times New Roman"/>
              </w:rPr>
              <w:t xml:space="preserve"> lit. a, natomiast w lit. b zosta</w:t>
            </w:r>
            <w:r w:rsidR="009C6512" w:rsidRPr="000F4E41">
              <w:rPr>
                <w:rFonts w:ascii="Times New Roman" w:hAnsi="Times New Roman"/>
              </w:rPr>
              <w:t>ł</w:t>
            </w:r>
            <w:r w:rsidR="00CB2BCF" w:rsidRPr="000F4E41">
              <w:rPr>
                <w:rFonts w:ascii="Times New Roman" w:hAnsi="Times New Roman"/>
              </w:rPr>
              <w:t xml:space="preserve"> określony </w:t>
            </w:r>
            <w:r w:rsidRPr="000F4E41">
              <w:rPr>
                <w:rFonts w:ascii="Times New Roman" w:hAnsi="Times New Roman"/>
              </w:rPr>
              <w:t>zakres współpracy pomiędzy Głównym Geodetą Kraju i Prezesem Głównego Urzędu Statystycznego</w:t>
            </w:r>
            <w:r w:rsidR="00CB2BCF" w:rsidRPr="000F4E41">
              <w:rPr>
                <w:rFonts w:ascii="Times New Roman" w:hAnsi="Times New Roman"/>
              </w:rPr>
              <w:t xml:space="preserve"> </w:t>
            </w:r>
            <w:r w:rsidR="00424CA3" w:rsidRPr="000F4E41">
              <w:rPr>
                <w:rFonts w:ascii="Times New Roman" w:hAnsi="Times New Roman"/>
              </w:rPr>
              <w:t>– przepis ten otrzymuje brzmienie:</w:t>
            </w:r>
          </w:p>
          <w:p w14:paraId="0BD11867" w14:textId="27C3FB84" w:rsidR="00CB2BCF" w:rsidRPr="000F4E41" w:rsidRDefault="009C6512" w:rsidP="00CB2BCF">
            <w:pPr>
              <w:pStyle w:val="PKTpunkt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„</w:t>
            </w:r>
            <w:r w:rsidR="00CB2BCF" w:rsidRPr="000F4E41">
              <w:rPr>
                <w:rFonts w:ascii="Times New Roman" w:hAnsi="Times New Roman" w:cs="Times New Roman"/>
                <w:sz w:val="22"/>
                <w:szCs w:val="22"/>
              </w:rPr>
              <w:t>1) w art. 7a:</w:t>
            </w:r>
          </w:p>
          <w:p w14:paraId="6FA1D0C7" w14:textId="77777777" w:rsidR="00CB2BCF" w:rsidRPr="000F4E41" w:rsidRDefault="00CB2BCF" w:rsidP="00CB2BCF">
            <w:pPr>
              <w:pStyle w:val="LITlitera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 xml:space="preserve">a) w ust. 1 w pkt 6 w lit. b uchyla się </w:t>
            </w:r>
            <w:proofErr w:type="spellStart"/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tiret</w:t>
            </w:r>
            <w:proofErr w:type="spellEnd"/>
            <w:r w:rsidRPr="000F4E41">
              <w:rPr>
                <w:rFonts w:ascii="Times New Roman" w:hAnsi="Times New Roman" w:cs="Times New Roman"/>
                <w:sz w:val="22"/>
                <w:szCs w:val="22"/>
              </w:rPr>
              <w:t xml:space="preserve"> trzecie,</w:t>
            </w:r>
          </w:p>
          <w:p w14:paraId="2DD34653" w14:textId="77777777" w:rsidR="00CB2BCF" w:rsidRPr="000F4E41" w:rsidRDefault="00CB2BCF" w:rsidP="00CB2BCF">
            <w:pPr>
              <w:pStyle w:val="LITlitera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 xml:space="preserve">b) </w:t>
            </w:r>
            <w:r w:rsidRPr="000F4E41">
              <w:rPr>
                <w:rFonts w:ascii="Times New Roman" w:hAnsi="Times New Roman" w:cs="Times New Roman"/>
                <w:b/>
                <w:sz w:val="22"/>
                <w:szCs w:val="22"/>
              </w:rPr>
              <w:t>dodaje się ust. 3 w brzmieniu:</w:t>
            </w:r>
          </w:p>
          <w:p w14:paraId="66E4FEBA" w14:textId="6EC2C103" w:rsidR="00BD35E7" w:rsidRPr="000F4E41" w:rsidRDefault="00CB2BCF" w:rsidP="009C6512">
            <w:pPr>
              <w:pStyle w:val="ZLITUSTzmustli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„3. Główny Geodeta Kraju współpracuje z Prezesem Głównego Urzędu Statystycznego przy wyjaśnianiu poprawności informacji gromadzonych w krajowym rejestrze urzędowym podziału terytorialnego kraju, o którym mowa w rozdziale 6 ustawy z dnia 29 czerwca 1995 r. o statystyce publicznej (Dz. U. z 2023 r. poz. 773 oraz z 2024 r. poz. …), zwanym dalej „rejestrem TERYT”, w zakresie rejestrów, o których mowa w art. 4 ust. 1a pkt 4 i 5 ustawy.”</w:t>
            </w:r>
            <w:r w:rsidR="009C6512" w:rsidRPr="000F4E4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1C3DD996" w14:textId="77777777" w:rsidR="00CB2BCF" w:rsidRPr="000F4E41" w:rsidRDefault="00CB2BCF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57AA98D" w14:textId="6A41FC9F" w:rsidR="00BD35E7" w:rsidRPr="000F4E41" w:rsidRDefault="009C651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Przywołana wyżej t</w:t>
            </w:r>
            <w:r w:rsidR="00BD35E7" w:rsidRPr="000F4E41">
              <w:rPr>
                <w:rFonts w:ascii="Times New Roman" w:hAnsi="Times New Roman"/>
              </w:rPr>
              <w:t xml:space="preserve">reść </w:t>
            </w:r>
            <w:r w:rsidRPr="000F4E41">
              <w:rPr>
                <w:rFonts w:ascii="Times New Roman" w:hAnsi="Times New Roman"/>
              </w:rPr>
              <w:t>art. 3 pkt 1 lit. b projektu ustawy</w:t>
            </w:r>
            <w:r w:rsidR="00BD35E7" w:rsidRPr="000F4E41">
              <w:rPr>
                <w:rFonts w:ascii="Times New Roman" w:hAnsi="Times New Roman"/>
              </w:rPr>
              <w:t xml:space="preserve"> została uzgodniona z Głównym Urzędem Geodezji i Kartografii</w:t>
            </w:r>
            <w:r w:rsidR="00445FBD">
              <w:rPr>
                <w:rFonts w:ascii="Times New Roman" w:hAnsi="Times New Roman"/>
              </w:rPr>
              <w:t xml:space="preserve">. </w:t>
            </w:r>
            <w:r w:rsidR="00BD35E7" w:rsidRPr="000F4E41">
              <w:rPr>
                <w:rFonts w:ascii="Times New Roman" w:hAnsi="Times New Roman"/>
              </w:rPr>
              <w:t xml:space="preserve">W propozycji GUS przekazanej do </w:t>
            </w:r>
            <w:proofErr w:type="spellStart"/>
            <w:r w:rsidR="00BD35E7" w:rsidRPr="000F4E41">
              <w:rPr>
                <w:rFonts w:ascii="Times New Roman" w:hAnsi="Times New Roman"/>
              </w:rPr>
              <w:t>GUGiK</w:t>
            </w:r>
            <w:proofErr w:type="spellEnd"/>
            <w:r w:rsidR="00BD35E7" w:rsidRPr="000F4E41">
              <w:rPr>
                <w:rFonts w:ascii="Times New Roman" w:hAnsi="Times New Roman"/>
              </w:rPr>
              <w:t xml:space="preserve">-u określono, że inicjatorem współpracy jest Prezes GUS (w przepisie ujęto zwrot „w przypadku, gdy zwróci się o to Prezes Głównego Urzędu Statystycznego”), jednak z uwagi na stanowisko </w:t>
            </w:r>
            <w:proofErr w:type="spellStart"/>
            <w:r w:rsidR="00BD35E7" w:rsidRPr="000F4E41">
              <w:rPr>
                <w:rFonts w:ascii="Times New Roman" w:hAnsi="Times New Roman"/>
              </w:rPr>
              <w:t>GUGiK</w:t>
            </w:r>
            <w:proofErr w:type="spellEnd"/>
            <w:r w:rsidR="00BD35E7" w:rsidRPr="000F4E41">
              <w:rPr>
                <w:rFonts w:ascii="Times New Roman" w:hAnsi="Times New Roman"/>
              </w:rPr>
              <w:t>, iż „współpraca pomiędzy instytucjami jest obustronna i odbywa się w sposób ciągły a nie tylko w przypadku zwrócenia się przez jedną ze stron”, w ostatecznej propozycji zwrot ten został pominięty.</w:t>
            </w:r>
          </w:p>
          <w:p w14:paraId="35D31189" w14:textId="7D548158" w:rsidR="00FC3024" w:rsidRPr="000F4E41" w:rsidRDefault="00FC3024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E0EAD36" w14:textId="0FAD2558" w:rsidR="00F338D7" w:rsidRPr="000F4E41" w:rsidRDefault="00FC3024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odniesieniu do przepisu art. 47i</w:t>
            </w:r>
            <w:r w:rsidR="00867EF3" w:rsidRPr="000F4E41">
              <w:rPr>
                <w:rFonts w:ascii="Times New Roman" w:hAnsi="Times New Roman"/>
              </w:rPr>
              <w:t xml:space="preserve"> ustawy o statystyce publicznej (według dotychczasowej numeracji)</w:t>
            </w:r>
            <w:r w:rsidRPr="000F4E41">
              <w:rPr>
                <w:rFonts w:ascii="Times New Roman" w:hAnsi="Times New Roman"/>
              </w:rPr>
              <w:t xml:space="preserve">, GUS zwrócił się do Głównego Urzędu Nadzoru Budowlanego (GUNB) z propozycją brzmienia przepisu wprowadzającego zmiany w ustawie z dnia 7 lipca 1994 r. – Prawo budowlane (Dz. U. z 2023 r., poz. 682 z </w:t>
            </w:r>
            <w:proofErr w:type="spellStart"/>
            <w:r w:rsidRPr="000F4E41">
              <w:rPr>
                <w:rFonts w:ascii="Times New Roman" w:hAnsi="Times New Roman"/>
              </w:rPr>
              <w:t>późn</w:t>
            </w:r>
            <w:proofErr w:type="spellEnd"/>
            <w:r w:rsidRPr="000F4E41">
              <w:rPr>
                <w:rFonts w:ascii="Times New Roman" w:hAnsi="Times New Roman"/>
              </w:rPr>
              <w:t>. zm.). Propozycja nie uzyskała akceptacji GUNB</w:t>
            </w:r>
            <w:r w:rsidR="00445FBD">
              <w:rPr>
                <w:rFonts w:ascii="Times New Roman" w:hAnsi="Times New Roman"/>
              </w:rPr>
              <w:t xml:space="preserve">. </w:t>
            </w:r>
            <w:r w:rsidRPr="000F4E41">
              <w:rPr>
                <w:rFonts w:ascii="Times New Roman" w:hAnsi="Times New Roman"/>
              </w:rPr>
              <w:t xml:space="preserve">Projektodawca przychyla się do uzasadnienia zgłoszonego przez GUNB, podzielając argumentację GUNB dotyczącą zarówno różnic w stosowanej w obydwu ustawach nomenklaturze, jak i wskazania, że projektowane przepisy znajdują się poza zakresem regulacji ustawy – Prawo budowlane. </w:t>
            </w:r>
            <w:r w:rsidR="00F30702" w:rsidRPr="000F4E41">
              <w:rPr>
                <w:rFonts w:ascii="Times New Roman" w:hAnsi="Times New Roman"/>
              </w:rPr>
              <w:t xml:space="preserve">Ustawa o statystyce publicznej </w:t>
            </w:r>
            <w:r w:rsidR="00A86C46" w:rsidRPr="000F4E41">
              <w:rPr>
                <w:rFonts w:ascii="Times New Roman" w:hAnsi="Times New Roman"/>
              </w:rPr>
              <w:t>jest ustawą właściwą do regulowania kwestii związanych z prowadzeniem i aktualizacją rejestru TERYT</w:t>
            </w:r>
            <w:r w:rsidR="00304B7E" w:rsidRPr="000F4E41">
              <w:rPr>
                <w:rFonts w:ascii="Times New Roman" w:hAnsi="Times New Roman"/>
              </w:rPr>
              <w:t>, prowadzonego w ramach odrębnego od statystyki publicznej systemu informacyjnego administracji publicznej</w:t>
            </w:r>
            <w:r w:rsidR="00A86C46" w:rsidRPr="000F4E41">
              <w:rPr>
                <w:rFonts w:ascii="Times New Roman" w:hAnsi="Times New Roman"/>
              </w:rPr>
              <w:t xml:space="preserve">, a obowiązek nakładany na powiatowych inspektorów nadzoru budowlanego służy realizacji zadania związanego z aktualizacją tego rejestru. W konsekwencji obowiązek, o którym mowa w art. 47i </w:t>
            </w:r>
            <w:r w:rsidR="00867EF3" w:rsidRPr="000F4E41">
              <w:rPr>
                <w:rFonts w:ascii="Times New Roman" w:hAnsi="Times New Roman"/>
              </w:rPr>
              <w:t xml:space="preserve">ustawy o statystyce publicznej (według dotychczasowej numeracji) </w:t>
            </w:r>
            <w:r w:rsidR="00446B2E" w:rsidRPr="000F4E41">
              <w:rPr>
                <w:rFonts w:ascii="Times New Roman" w:hAnsi="Times New Roman"/>
              </w:rPr>
              <w:t xml:space="preserve">powinien zostać </w:t>
            </w:r>
            <w:r w:rsidR="00867EF3" w:rsidRPr="000F4E41">
              <w:rPr>
                <w:rFonts w:ascii="Times New Roman" w:hAnsi="Times New Roman"/>
              </w:rPr>
              <w:t>utrzymany</w:t>
            </w:r>
            <w:r w:rsidR="00A86C46" w:rsidRPr="000F4E41">
              <w:rPr>
                <w:rFonts w:ascii="Times New Roman" w:hAnsi="Times New Roman"/>
              </w:rPr>
              <w:t xml:space="preserve"> w ustawie o statystyce publicznej</w:t>
            </w:r>
            <w:r w:rsidR="00867EF3" w:rsidRPr="000F4E41">
              <w:rPr>
                <w:rFonts w:ascii="Times New Roman" w:hAnsi="Times New Roman"/>
              </w:rPr>
              <w:t xml:space="preserve"> –  obecnie jest zawarty w proponowanym art. 47h ustawy o statystyce publicznej (według nowej numeracji).</w:t>
            </w:r>
          </w:p>
          <w:p w14:paraId="06834D3C" w14:textId="7636A134" w:rsidR="00FD3C8D" w:rsidRPr="000F4E41" w:rsidRDefault="00FD3C8D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C49EC96" w14:textId="56B0A7EF" w:rsidR="005F6002" w:rsidRPr="000F4E41" w:rsidRDefault="00FD3C8D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 xml:space="preserve">Jednocześnie, w związku z dodatkową uwagą </w:t>
            </w:r>
            <w:proofErr w:type="spellStart"/>
            <w:r w:rsidRPr="000F4E41">
              <w:rPr>
                <w:rFonts w:ascii="Times New Roman" w:hAnsi="Times New Roman"/>
              </w:rPr>
              <w:t>GUGiK</w:t>
            </w:r>
            <w:proofErr w:type="spellEnd"/>
            <w:r w:rsidRPr="000F4E41">
              <w:rPr>
                <w:rFonts w:ascii="Times New Roman" w:hAnsi="Times New Roman"/>
              </w:rPr>
              <w:t xml:space="preserve"> przekazaną pismem z dn. 15.04.2024 r. (znak: </w:t>
            </w:r>
            <w:r w:rsidRPr="000F4E41">
              <w:rPr>
                <w:rFonts w:ascii="Times New Roman" w:eastAsia="Times New Roman" w:hAnsi="Times New Roman"/>
              </w:rPr>
              <w:t>NK-OL.022.9.2024), kwestionującą zasadność ujęcia w ustawie z dnia 17 maja 1989 r. Prawo geodezyjne i kartograficzne obowiązków nakładanych na wójtów (burmistrzów/prezydentów miast) przyjęto, że przepisy te zostaną uwzględnione w ustawie o statystyce publicznej. Takie podejście zapewnia spójność przepisów dot</w:t>
            </w:r>
            <w:r w:rsidR="00424CA3" w:rsidRPr="000F4E41">
              <w:rPr>
                <w:rFonts w:ascii="Times New Roman" w:eastAsia="Times New Roman" w:hAnsi="Times New Roman"/>
              </w:rPr>
              <w:t xml:space="preserve">yczących </w:t>
            </w:r>
            <w:r w:rsidRPr="000F4E41">
              <w:rPr>
                <w:rFonts w:ascii="Times New Roman" w:eastAsia="Times New Roman" w:hAnsi="Times New Roman"/>
              </w:rPr>
              <w:t>obowiązków nakładanych na podmioty zobowiązane do przekazywania informacji na potrzeby aktualizacji rejestru TERYT.</w:t>
            </w:r>
          </w:p>
        </w:tc>
      </w:tr>
      <w:tr w:rsidR="00446B2E" w:rsidRPr="000F4E41" w14:paraId="7D2A703B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DA5987E" w14:textId="1091D274" w:rsidR="00446B2E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21</w:t>
            </w:r>
            <w:r w:rsidR="00446B2E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24D7D199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06909A6D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19 projektu</w:t>
            </w:r>
          </w:p>
          <w:p w14:paraId="7480F1C8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47k ustawy o statystyce publicznej)</w:t>
            </w:r>
          </w:p>
          <w:p w14:paraId="11C8699D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50886B80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Dodawany art. 47k w ustawie stanowiący, że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Organy prowadzące urzędowe rejestry i systemy informacyjne administracji publicznej współdziałają z jednostkami służb statystyki publicznej przy wyjaśnianiu poprawności wprowadzonych do rejestru TERYT informacji</w:t>
            </w:r>
            <w:r w:rsidRPr="000F4E41">
              <w:rPr>
                <w:rFonts w:ascii="Times New Roman" w:eastAsiaTheme="minorHAnsi" w:hAnsi="Times New Roman"/>
              </w:rPr>
              <w:t>, wymaga uzupełnienia o regulacje dotyczące zasad tego współdziałania, tak jak ma to miejsce w art. 21a ustawy określającym zasady współpracy Prezesa Głównego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Urzędu Statystycznego z Prezesem Narodowego Banku Polskiego, czy też w projektowanych przepisach art. 47i oraz art. 47j w odniesieniu do organów nadzoru budowlanego oraz ministra właściwego do spraw informatyzacji.</w:t>
            </w:r>
          </w:p>
        </w:tc>
        <w:tc>
          <w:tcPr>
            <w:tcW w:w="5103" w:type="dxa"/>
          </w:tcPr>
          <w:p w14:paraId="15631ACE" w14:textId="39B56DA2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003BB041" w14:textId="77777777" w:rsidR="00FD3C8D" w:rsidRPr="000F4E41" w:rsidRDefault="00FD3C8D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16080510" w14:textId="2B762EE8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Przepis </w:t>
            </w:r>
            <w:r w:rsidR="005A2E06" w:rsidRPr="000F4E41">
              <w:rPr>
                <w:rFonts w:ascii="Times New Roman" w:hAnsi="Times New Roman"/>
              </w:rPr>
              <w:t>art. 47</w:t>
            </w:r>
            <w:r w:rsidR="00901663" w:rsidRPr="000F4E41">
              <w:rPr>
                <w:rFonts w:ascii="Times New Roman" w:hAnsi="Times New Roman"/>
              </w:rPr>
              <w:t>k</w:t>
            </w:r>
            <w:r w:rsidR="005A2E06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zosta</w:t>
            </w:r>
            <w:r w:rsidR="005A2E06" w:rsidRPr="000F4E41">
              <w:rPr>
                <w:rFonts w:ascii="Times New Roman" w:hAnsi="Times New Roman"/>
              </w:rPr>
              <w:t>ł</w:t>
            </w:r>
            <w:r w:rsidRPr="000F4E41">
              <w:rPr>
                <w:rFonts w:ascii="Times New Roman" w:hAnsi="Times New Roman"/>
              </w:rPr>
              <w:t xml:space="preserve"> przeredagowany i doprecyzowany, poprzez wskazanie organów zobowiązanych do współdziałania i zakresu tej współpracy</w:t>
            </w:r>
            <w:r w:rsidR="00F14AA7" w:rsidRPr="000F4E41">
              <w:rPr>
                <w:rFonts w:ascii="Times New Roman" w:hAnsi="Times New Roman"/>
              </w:rPr>
              <w:t xml:space="preserve"> (art. 1 pkt 20 projektu ustawy)</w:t>
            </w:r>
            <w:r w:rsidRPr="000F4E41">
              <w:rPr>
                <w:rFonts w:ascii="Times New Roman" w:hAnsi="Times New Roman"/>
              </w:rPr>
              <w:t xml:space="preserve">. </w:t>
            </w:r>
          </w:p>
          <w:p w14:paraId="4CB70171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23BF2298" w14:textId="46DC273C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Propozycja brzmienia przepisu</w:t>
            </w:r>
            <w:r w:rsidR="00F14AA7" w:rsidRPr="000F4E41">
              <w:rPr>
                <w:rFonts w:ascii="Times New Roman" w:hAnsi="Times New Roman"/>
              </w:rPr>
              <w:t>:</w:t>
            </w:r>
          </w:p>
          <w:p w14:paraId="39776A51" w14:textId="3D922672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bookmarkStart w:id="13" w:name="_Hlk164608993"/>
            <w:r w:rsidRPr="000F4E41">
              <w:rPr>
                <w:rFonts w:ascii="Times New Roman" w:hAnsi="Times New Roman"/>
                <w:i/>
              </w:rPr>
              <w:t>„</w:t>
            </w:r>
            <w:r w:rsidRPr="000F4E41">
              <w:rPr>
                <w:rFonts w:ascii="Times New Roman" w:hAnsi="Times New Roman"/>
                <w:b/>
                <w:i/>
              </w:rPr>
              <w:t>Art. 47</w:t>
            </w:r>
            <w:r w:rsidR="00901663" w:rsidRPr="000F4E41">
              <w:rPr>
                <w:rFonts w:ascii="Times New Roman" w:hAnsi="Times New Roman"/>
                <w:b/>
                <w:i/>
              </w:rPr>
              <w:t>k</w:t>
            </w:r>
            <w:r w:rsidRPr="000F4E41">
              <w:rPr>
                <w:rFonts w:ascii="Times New Roman" w:hAnsi="Times New Roman"/>
                <w:b/>
                <w:i/>
              </w:rPr>
              <w:t xml:space="preserve">. </w:t>
            </w:r>
            <w:r w:rsidRPr="000F4E41">
              <w:rPr>
                <w:rFonts w:ascii="Times New Roman" w:hAnsi="Times New Roman"/>
                <w:i/>
              </w:rPr>
              <w:t xml:space="preserve">Organy jednostek samorządu terytorialnego, z wyłączeniem organów samorządu województwa oraz powiatowi inspektorzy nadzoru budowlanego współdziałają z jednostkami służb statystyki publicznej przy wyjaśnianiu poprawności gromadzonych w rejestrze TERYT informacji </w:t>
            </w:r>
            <w:bookmarkStart w:id="14" w:name="_Hlk161406329"/>
            <w:r w:rsidRPr="000F4E41">
              <w:rPr>
                <w:rFonts w:ascii="Times New Roman" w:hAnsi="Times New Roman"/>
                <w:i/>
              </w:rPr>
              <w:t>wchodzących w skład systemów, o których mowa w art. 47c-47e, w przypadku gdy zwrócą się o to jednostki służb statystyki publicznej.</w:t>
            </w:r>
            <w:r w:rsidR="005A2E06" w:rsidRPr="000F4E41">
              <w:rPr>
                <w:rFonts w:ascii="Times New Roman" w:hAnsi="Times New Roman"/>
                <w:i/>
              </w:rPr>
              <w:t>”.</w:t>
            </w:r>
          </w:p>
          <w:bookmarkEnd w:id="13"/>
          <w:p w14:paraId="056209F8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1C90E192" w14:textId="5A4BA74F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</w:rPr>
              <w:t>Ponadto należy zauważyć, że obowiązek współpracy, o którym mowa w art. 47</w:t>
            </w:r>
            <w:r w:rsidR="00901663" w:rsidRPr="000F4E41">
              <w:rPr>
                <w:rFonts w:ascii="Times New Roman" w:hAnsi="Times New Roman"/>
              </w:rPr>
              <w:t>k</w:t>
            </w:r>
            <w:r w:rsidR="005A2E06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nie jest nowy. Współpraca jest częściowo uregulowana w obecnie obowiązującym rozporządzeniu w sprawie rejestru TERYT (§</w:t>
            </w:r>
            <w:r w:rsidR="00901663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11 ust. 2) i w praktyce realizowana, jednak z uwagi na jej podstawowe znaczenie powinna zostać uwzględniona w akcie prawnym rangi ustawy.</w:t>
            </w:r>
            <w:bookmarkEnd w:id="14"/>
          </w:p>
        </w:tc>
      </w:tr>
      <w:tr w:rsidR="00446B2E" w:rsidRPr="000F4E41" w14:paraId="3567C1D4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020919A" w14:textId="42EC3929" w:rsidR="00446B2E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446B2E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5C7E98AF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7FB4664F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21 projektu</w:t>
            </w:r>
          </w:p>
          <w:p w14:paraId="46C5E4C0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48a ustawy o statystyce publicznej)</w:t>
            </w:r>
          </w:p>
          <w:p w14:paraId="30E583ED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7002DD55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Obowiązki organów prowadzących rejestry urzędowe i systemy informacyjne określone w projektowanym art. 48a ust. 1 i 2 ustawy powinny zostać wprowadzone w ustawie regulującej funkcjonowanie danego rejestru lub systemu (będącej podstawą jego utworzenia).</w:t>
            </w:r>
          </w:p>
        </w:tc>
        <w:tc>
          <w:tcPr>
            <w:tcW w:w="5103" w:type="dxa"/>
          </w:tcPr>
          <w:p w14:paraId="59327920" w14:textId="77777777" w:rsidR="00EE40F6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nieuwzględniona. </w:t>
            </w:r>
          </w:p>
          <w:p w14:paraId="24180097" w14:textId="77777777" w:rsidR="00EE40F6" w:rsidRPr="000F4E41" w:rsidRDefault="00EE40F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637E7A0" w14:textId="48CE2C6E" w:rsidR="00FD3C8D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EE40F6" w:rsidRPr="000F4E41">
              <w:rPr>
                <w:rFonts w:ascii="Times New Roman" w:hAnsi="Times New Roman"/>
                <w:b/>
              </w:rPr>
              <w:t>:</w:t>
            </w:r>
          </w:p>
          <w:p w14:paraId="1E99A406" w14:textId="74D4A0D9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Podstawową ustawą regulującą funkcjonowanie rejestru TERYT i zasady jego współpracy z innymi rejestrami urzędowymi oraz systemami informacyjnymi administracji publicznej jest ustawa o statystyce publicznej. W związku z tym, w opinii projektodawcy, ustawa o statystyce publicznej jest właściwa dla projektowanego przepisu art. 48a.</w:t>
            </w:r>
            <w:r w:rsidRPr="000F4E41">
              <w:rPr>
                <w:rFonts w:ascii="Times New Roman" w:hAnsi="Times New Roman"/>
                <w:highlight w:val="yellow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 Proponowany przepis stanowi w zasadniczej części powtórzenie aktualnie obowiązujących przepisów ujętych w art. 47 ust. 3 ustawy o statystyce publicznej (przepis w aktualnym brzmieniu zostanie uchylony) </w:t>
            </w:r>
            <w:r w:rsidRPr="000F4E41">
              <w:rPr>
                <w:rFonts w:ascii="Times New Roman" w:hAnsi="Times New Roman"/>
              </w:rPr>
              <w:lastRenderedPageBreak/>
              <w:t>oraz § 16 i 17 rozporządzenia w sprawie rejestru TERYT. Proponowane zmiany nie wprowadzają dodatkowych obowiązków, pokrywają się z wcześniej funkcjonującymi i realizowanymi, a intencją zmian jest jedynie doprecyzowanie i uporządkowanie istniejących regulacji z tym związanych.</w:t>
            </w:r>
          </w:p>
          <w:p w14:paraId="0736426A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projekcie ustawy przyjęto zasadę, zgodnie z którą przepisy zobowiązujące inne rejestry urzędowe do stosowania identyfikatorów rejestru TERYT mają charakter ogólny (lex </w:t>
            </w:r>
            <w:proofErr w:type="spellStart"/>
            <w:r w:rsidRPr="000F4E41">
              <w:rPr>
                <w:rFonts w:ascii="Times New Roman" w:hAnsi="Times New Roman"/>
              </w:rPr>
              <w:t>generalis</w:t>
            </w:r>
            <w:proofErr w:type="spellEnd"/>
            <w:r w:rsidRPr="000F4E41">
              <w:rPr>
                <w:rFonts w:ascii="Times New Roman" w:hAnsi="Times New Roman"/>
              </w:rPr>
              <w:t xml:space="preserve">), natomiast w ustawach regulujących funkcjonowanie innych rejestrów zawarte zostały przepisy szczegółowe wyłączające te rejestry z zasady ogólnej (w ramach projektu ustawy przepisy szczegółowe uwzględniono w ustawach regulujących funkcjonowanie niektórych rejestrów sądowych, w pozostałych przypadkach ewentualne zmiany powinny zostać wprowadzone w ramach nowelizacji przepisów regulujących funkcjonowanie tych rejestrów) – </w:t>
            </w:r>
            <w:r w:rsidRPr="000F4E41">
              <w:rPr>
                <w:rFonts w:ascii="Times New Roman" w:hAnsi="Times New Roman"/>
                <w:i/>
              </w:rPr>
              <w:t xml:space="preserve">lex </w:t>
            </w:r>
            <w:proofErr w:type="spellStart"/>
            <w:r w:rsidRPr="000F4E41">
              <w:rPr>
                <w:rFonts w:ascii="Times New Roman" w:hAnsi="Times New Roman"/>
                <w:i/>
              </w:rPr>
              <w:t>specialis</w:t>
            </w:r>
            <w:proofErr w:type="spellEnd"/>
            <w:r w:rsidRPr="000F4E41">
              <w:rPr>
                <w:rFonts w:ascii="Times New Roman" w:hAnsi="Times New Roman"/>
                <w:i/>
              </w:rPr>
              <w:t xml:space="preserve"> derogat legi </w:t>
            </w:r>
            <w:proofErr w:type="spellStart"/>
            <w:r w:rsidRPr="000F4E41">
              <w:rPr>
                <w:rFonts w:ascii="Times New Roman" w:hAnsi="Times New Roman"/>
                <w:i/>
              </w:rPr>
              <w:t>generali</w:t>
            </w:r>
            <w:proofErr w:type="spellEnd"/>
            <w:r w:rsidRPr="000F4E41">
              <w:rPr>
                <w:rFonts w:ascii="Times New Roman" w:hAnsi="Times New Roman"/>
              </w:rPr>
              <w:t xml:space="preserve"> (norma szczególna uchyla normę ogólną). Nie ma możliwości zidentyfikowania wszystkich rejestrów zobowiązanych do stosowania identyfikatorów rejestru TERYT (liczba rejestrów zarówno na poziomie centralnym jak i lokalnym, stosujących adres jest duża i stale rośnie). W związku z tym nie jest możliwe dokonanie aktualizacji przepisów regulujących funkcjonowanie wszystkich rejestrów w trybie nowelizacji ustawy o statystyce publicznej.</w:t>
            </w:r>
          </w:p>
          <w:p w14:paraId="38F1F599" w14:textId="1695DC5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Jednocześnie w art. </w:t>
            </w:r>
            <w:r w:rsidR="00F14AA7" w:rsidRPr="000F4E41">
              <w:rPr>
                <w:rFonts w:ascii="Times New Roman" w:hAnsi="Times New Roman"/>
              </w:rPr>
              <w:t>14</w:t>
            </w:r>
            <w:r w:rsidRPr="000F4E41">
              <w:rPr>
                <w:rFonts w:ascii="Times New Roman" w:hAnsi="Times New Roman"/>
              </w:rPr>
              <w:t>, przewidziano okres przejściowy na dostosowanie się rejestrów do wymagań określonych w art. 48a – projektodawca zakłada, że jest to jednocześnie okres, w którym możliwe jest wprowadzenie ewentualnych zmian prawnych w przepisach regulujących funkcjonowanie tych rejestrów jeśli zaistnieje taka potrzeba.</w:t>
            </w:r>
          </w:p>
        </w:tc>
      </w:tr>
      <w:tr w:rsidR="00446B2E" w:rsidRPr="000F4E41" w14:paraId="540B64CD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883B449" w14:textId="5A01E2BF" w:rsidR="00446B2E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23</w:t>
            </w:r>
            <w:r w:rsidR="00446B2E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1FA83F4B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</w:tc>
        <w:tc>
          <w:tcPr>
            <w:tcW w:w="2410" w:type="dxa"/>
            <w:shd w:val="clear" w:color="auto" w:fill="auto"/>
          </w:tcPr>
          <w:p w14:paraId="1490F3DE" w14:textId="0463DBA8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 pkt 21 projektu</w:t>
            </w:r>
          </w:p>
          <w:p w14:paraId="17E85A67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>dotyczy art. 48a ustawy o statystyce publicznej)</w:t>
            </w:r>
          </w:p>
          <w:p w14:paraId="47E0D139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6C74D34" w14:textId="39684281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lastRenderedPageBreak/>
              <w:t>Art. 9 projektu</w:t>
            </w:r>
          </w:p>
          <w:p w14:paraId="76E98107" w14:textId="0086D855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11 projektu</w:t>
            </w:r>
          </w:p>
        </w:tc>
        <w:tc>
          <w:tcPr>
            <w:tcW w:w="5670" w:type="dxa"/>
            <w:shd w:val="clear" w:color="auto" w:fill="auto"/>
          </w:tcPr>
          <w:p w14:paraId="7707F222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lastRenderedPageBreak/>
              <w:t xml:space="preserve">W projektowanych art. 1 pkt 21, 9, art. 11 projektodawca posługuje się wyrażeniem „organy prowadzące rejestry (…) w tym rejestry sądowe”. Rejestry sądowe prowadzone są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przez sądy, a sądy nie są organami. Dlatego też zwrot jest nieprawidłowy. Proponuje</w:t>
            </w:r>
          </w:p>
          <w:p w14:paraId="06E107A7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się zatem, aby zmienić ten zwrot, np. „sądy i organy prowadzące rejestry (…) w tym rejestry sądowe”.</w:t>
            </w:r>
          </w:p>
        </w:tc>
        <w:tc>
          <w:tcPr>
            <w:tcW w:w="5103" w:type="dxa"/>
          </w:tcPr>
          <w:p w14:paraId="5766A184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częściowo uwzględniona.</w:t>
            </w:r>
          </w:p>
          <w:p w14:paraId="0C3FF1FD" w14:textId="77777777" w:rsidR="008C73E0" w:rsidRPr="000F4E41" w:rsidRDefault="008C73E0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74F1B46" w14:textId="0B9C74F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Przepis zostanie przeredagowany.</w:t>
            </w:r>
          </w:p>
          <w:p w14:paraId="50D6097F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0F53293" w14:textId="508E7932" w:rsidR="00446B2E" w:rsidRPr="000F4E41" w:rsidRDefault="00F14AA7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W art. 1 pkt 22 projektu ustawy u</w:t>
            </w:r>
            <w:r w:rsidR="008C73E0" w:rsidRPr="000F4E41">
              <w:rPr>
                <w:rFonts w:ascii="Times New Roman" w:hAnsi="Times New Roman"/>
              </w:rPr>
              <w:t xml:space="preserve">stalono następujące brzmienie </w:t>
            </w:r>
            <w:r w:rsidR="001C0A37" w:rsidRPr="000F4E41">
              <w:rPr>
                <w:rFonts w:ascii="Times New Roman" w:hAnsi="Times New Roman"/>
              </w:rPr>
              <w:t xml:space="preserve">ust. 1 w </w:t>
            </w:r>
            <w:r w:rsidR="00446B2E" w:rsidRPr="000F4E41">
              <w:rPr>
                <w:rFonts w:ascii="Times New Roman" w:hAnsi="Times New Roman"/>
              </w:rPr>
              <w:t>art. 48a ustawy o statystyce publicznej</w:t>
            </w:r>
            <w:r w:rsidR="003230B0" w:rsidRPr="000F4E41">
              <w:rPr>
                <w:rFonts w:ascii="Times New Roman" w:hAnsi="Times New Roman"/>
              </w:rPr>
              <w:t>:</w:t>
            </w:r>
          </w:p>
          <w:p w14:paraId="3874F044" w14:textId="5593DBE7" w:rsidR="000828CA" w:rsidRPr="000F4E41" w:rsidRDefault="000828CA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bookmarkStart w:id="15" w:name="_Hlk164609225"/>
            <w:r w:rsidRPr="000F4E41">
              <w:rPr>
                <w:rFonts w:ascii="Times New Roman" w:hAnsi="Times New Roman"/>
                <w:i/>
              </w:rPr>
              <w:t>„1. Obowiązane do stosowania przyjętych w rejestrze TERYT identyfikatorów rejestru TERYT, jako obowiązującego standardu identyfikacji terytorialnej</w:t>
            </w:r>
            <w:r w:rsidR="00843FC8" w:rsidRPr="000F4E41">
              <w:rPr>
                <w:rFonts w:ascii="Times New Roman" w:hAnsi="Times New Roman"/>
                <w:i/>
              </w:rPr>
              <w:t>,</w:t>
            </w:r>
            <w:r w:rsidRPr="000F4E41">
              <w:rPr>
                <w:rFonts w:ascii="Times New Roman" w:hAnsi="Times New Roman"/>
                <w:i/>
              </w:rPr>
              <w:t xml:space="preserve"> są:</w:t>
            </w:r>
          </w:p>
          <w:p w14:paraId="793225EF" w14:textId="77777777" w:rsidR="000828CA" w:rsidRPr="000F4E41" w:rsidRDefault="000828CA" w:rsidP="006602F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 xml:space="preserve"> organy prowadzące rejestry urzędowe </w:t>
            </w:r>
          </w:p>
          <w:p w14:paraId="13E63BBC" w14:textId="77777777" w:rsidR="000828CA" w:rsidRPr="000F4E41" w:rsidRDefault="000828CA" w:rsidP="007214C3">
            <w:pPr>
              <w:pStyle w:val="Akapitzlist"/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i systemy informacyjne administracji publicznej;</w:t>
            </w:r>
          </w:p>
          <w:p w14:paraId="028E6328" w14:textId="77777777" w:rsidR="000828CA" w:rsidRPr="000F4E41" w:rsidRDefault="000828CA" w:rsidP="006602FF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 xml:space="preserve"> sądy prowadzące rejestry sądowe</w:t>
            </w:r>
          </w:p>
          <w:p w14:paraId="2B7EB06D" w14:textId="77777777" w:rsidR="000828CA" w:rsidRPr="000F4E41" w:rsidRDefault="000828CA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– jeżeli te rejestry i systemy są prowadzone w systemie teleinformatycznym, o ile przepis szczególny nie stanowi inaczej.”.</w:t>
            </w:r>
          </w:p>
          <w:bookmarkEnd w:id="15"/>
          <w:p w14:paraId="1571ABC3" w14:textId="777777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  <w:highlight w:val="cyan"/>
              </w:rPr>
            </w:pPr>
          </w:p>
          <w:p w14:paraId="184BD353" w14:textId="2964C2E2" w:rsidR="003230B0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Ponadto, w związku z tym, że art. 48a ust. 2</w:t>
            </w:r>
            <w:r w:rsidR="003230B0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 xml:space="preserve">przywołuje organy wymienione w ust. 1, w świetle uwagi zgłoszonej do ust. 1, </w:t>
            </w:r>
            <w:r w:rsidR="00843FC8" w:rsidRPr="000F4E41">
              <w:rPr>
                <w:rFonts w:ascii="Times New Roman" w:hAnsi="Times New Roman"/>
              </w:rPr>
              <w:t>wprowadzono zmianę w</w:t>
            </w:r>
            <w:r w:rsidRPr="000F4E41">
              <w:rPr>
                <w:rFonts w:ascii="Times New Roman" w:hAnsi="Times New Roman"/>
              </w:rPr>
              <w:t xml:space="preserve"> ust. 2 poprzez uwzględnienie w nim sądów</w:t>
            </w:r>
            <w:r w:rsidR="00843FC8" w:rsidRPr="000F4E41">
              <w:rPr>
                <w:rFonts w:ascii="Times New Roman" w:hAnsi="Times New Roman"/>
              </w:rPr>
              <w:t>:</w:t>
            </w:r>
          </w:p>
          <w:p w14:paraId="199521E9" w14:textId="5A5E0CB6" w:rsidR="00843FC8" w:rsidRPr="000F4E41" w:rsidRDefault="00843FC8" w:rsidP="00843FC8">
            <w:pPr>
              <w:pStyle w:val="ZARTzmartartykuempunktem"/>
              <w:spacing w:line="240" w:lineRule="auto"/>
              <w:ind w:left="0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„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2. Po każdorazowej aktualizacji danych zawartych w systemach, o których mowa w art. 47 ust. 2 pkt 1-2a, dotyczących zakresu informacyjnego wymienionego w art. 47a ust. 1, art. 47b ust. 1 i art. 47c ust. 1, </w:t>
            </w:r>
            <w:r w:rsidRPr="000F4E4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organy i sądy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wskazane w ust. 1 są obowiązane do niezwłocznego  dokonania zmian wynikających z tej aktualizacji w prowadzonych przez siebie rejestrach i systemach informacyjnych administracji publicznej, </w:t>
            </w:r>
            <w:r w:rsidR="008E4ED4"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w przypadku gdy relacje pomiędzy dotychczasowymi i nowymi danymi mają charakter jednoznaczny, 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o ile przepis szczególny nie stanowi inaczej.”.</w:t>
            </w:r>
          </w:p>
          <w:p w14:paraId="428F01AA" w14:textId="77777777" w:rsidR="00843FC8" w:rsidRPr="000F4E41" w:rsidRDefault="00843FC8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CDBA61E" w14:textId="0BEEB368" w:rsidR="00214F5F" w:rsidRPr="000F4E41" w:rsidRDefault="00446B2E" w:rsidP="00214F5F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Anal</w:t>
            </w:r>
            <w:r w:rsidR="00843FC8" w:rsidRPr="000F4E41">
              <w:rPr>
                <w:rFonts w:ascii="Times New Roman" w:hAnsi="Times New Roman"/>
              </w:rPr>
              <w:t>o</w:t>
            </w:r>
            <w:r w:rsidRPr="000F4E41">
              <w:rPr>
                <w:rFonts w:ascii="Times New Roman" w:hAnsi="Times New Roman"/>
              </w:rPr>
              <w:t>giczn</w:t>
            </w:r>
            <w:r w:rsidR="00214F5F" w:rsidRPr="000F4E41">
              <w:rPr>
                <w:rFonts w:ascii="Times New Roman" w:hAnsi="Times New Roman"/>
              </w:rPr>
              <w:t>a</w:t>
            </w:r>
            <w:r w:rsidRPr="000F4E41">
              <w:rPr>
                <w:rFonts w:ascii="Times New Roman" w:hAnsi="Times New Roman"/>
              </w:rPr>
              <w:t xml:space="preserve"> zmian</w:t>
            </w:r>
            <w:r w:rsidR="00214F5F" w:rsidRPr="000F4E41">
              <w:rPr>
                <w:rFonts w:ascii="Times New Roman" w:hAnsi="Times New Roman"/>
              </w:rPr>
              <w:t>a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214F5F" w:rsidRPr="000F4E41">
              <w:rPr>
                <w:rFonts w:ascii="Times New Roman" w:hAnsi="Times New Roman"/>
              </w:rPr>
              <w:t>została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3230B0" w:rsidRPr="000F4E41">
              <w:rPr>
                <w:rFonts w:ascii="Times New Roman" w:hAnsi="Times New Roman"/>
              </w:rPr>
              <w:t>wprowadzon</w:t>
            </w:r>
            <w:r w:rsidR="00214F5F" w:rsidRPr="000F4E41">
              <w:rPr>
                <w:rFonts w:ascii="Times New Roman" w:hAnsi="Times New Roman"/>
              </w:rPr>
              <w:t>a</w:t>
            </w:r>
            <w:r w:rsidRPr="000F4E41">
              <w:rPr>
                <w:rFonts w:ascii="Times New Roman" w:hAnsi="Times New Roman"/>
              </w:rPr>
              <w:t xml:space="preserve"> w art. </w:t>
            </w:r>
            <w:r w:rsidR="00F14AA7" w:rsidRPr="000F4E41">
              <w:rPr>
                <w:rFonts w:ascii="Times New Roman" w:hAnsi="Times New Roman"/>
              </w:rPr>
              <w:t>14</w:t>
            </w:r>
            <w:r w:rsidR="00214F5F" w:rsidRPr="000F4E41">
              <w:rPr>
                <w:rFonts w:ascii="Times New Roman" w:hAnsi="Times New Roman"/>
              </w:rPr>
              <w:t xml:space="preserve"> projektu ustawy </w:t>
            </w:r>
            <w:r w:rsidR="00F14AA7" w:rsidRPr="000F4E41">
              <w:rPr>
                <w:rFonts w:ascii="Times New Roman" w:hAnsi="Times New Roman"/>
              </w:rPr>
              <w:t xml:space="preserve">(według nowej numeracji) </w:t>
            </w:r>
            <w:r w:rsidR="00214F5F" w:rsidRPr="000F4E41">
              <w:rPr>
                <w:rFonts w:ascii="Times New Roman" w:hAnsi="Times New Roman"/>
              </w:rPr>
              <w:t>– przepis ten otrzymuje brzmienie:</w:t>
            </w:r>
          </w:p>
          <w:p w14:paraId="6D89A75C" w14:textId="74D6E269" w:rsidR="004E58EB" w:rsidRPr="000F4E41" w:rsidRDefault="00214F5F" w:rsidP="004E58EB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„</w:t>
            </w:r>
            <w:r w:rsidRPr="000F4E41">
              <w:rPr>
                <w:rStyle w:val="Ppogrubienie"/>
                <w:rFonts w:ascii="Times New Roman" w:hAnsi="Times New Roman"/>
                <w:i/>
              </w:rPr>
              <w:t>Art. </w:t>
            </w:r>
            <w:r w:rsidR="00F14AA7" w:rsidRPr="000F4E41">
              <w:rPr>
                <w:rStyle w:val="Ppogrubienie"/>
                <w:rFonts w:ascii="Times New Roman" w:hAnsi="Times New Roman"/>
                <w:i/>
              </w:rPr>
              <w:t>14</w:t>
            </w:r>
            <w:r w:rsidRPr="000F4E41">
              <w:rPr>
                <w:rStyle w:val="Ppogrubienie"/>
                <w:rFonts w:ascii="Times New Roman" w:hAnsi="Times New Roman"/>
                <w:i/>
              </w:rPr>
              <w:t>.</w:t>
            </w:r>
            <w:r w:rsidRPr="000F4E41">
              <w:rPr>
                <w:rFonts w:ascii="Times New Roman" w:hAnsi="Times New Roman"/>
                <w:i/>
              </w:rPr>
              <w:t xml:space="preserve"> </w:t>
            </w:r>
            <w:bookmarkStart w:id="16" w:name="_Hlk110955682"/>
            <w:r w:rsidR="004E58EB" w:rsidRPr="000F4E41">
              <w:rPr>
                <w:rFonts w:ascii="Times New Roman" w:hAnsi="Times New Roman"/>
                <w:i/>
              </w:rPr>
              <w:t>1. Prezes Głównego Urzędu Statystycznego dostosuje:</w:t>
            </w:r>
          </w:p>
          <w:p w14:paraId="54E656A7" w14:textId="32CF5E54" w:rsidR="004E58EB" w:rsidRPr="000F4E41" w:rsidRDefault="00A9361F" w:rsidP="006602FF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s</w:t>
            </w:r>
            <w:r w:rsidR="00101E4B" w:rsidRPr="000F4E41">
              <w:rPr>
                <w:rFonts w:ascii="Times New Roman" w:hAnsi="Times New Roman"/>
                <w:i/>
              </w:rPr>
              <w:t xml:space="preserve">ystemy wymienione </w:t>
            </w:r>
            <w:r w:rsidR="004E58EB" w:rsidRPr="000F4E41">
              <w:rPr>
                <w:rFonts w:ascii="Times New Roman" w:hAnsi="Times New Roman"/>
                <w:i/>
              </w:rPr>
              <w:t xml:space="preserve"> w art. 47 ust. 2 pkt 1-2a ustawy zmienianej w art. 1, w brzmieniu nadanym niniejszą ustawą,</w:t>
            </w:r>
            <w:r w:rsidR="00101E4B" w:rsidRPr="000F4E41">
              <w:rPr>
                <w:rFonts w:ascii="Times New Roman" w:hAnsi="Times New Roman"/>
                <w:i/>
              </w:rPr>
              <w:t xml:space="preserve"> do rejestracji zmian</w:t>
            </w:r>
            <w:r w:rsidRPr="000F4E41">
              <w:rPr>
                <w:rFonts w:ascii="Times New Roman" w:hAnsi="Times New Roman"/>
                <w:i/>
              </w:rPr>
              <w:t>, które zaistnieją</w:t>
            </w:r>
            <w:r w:rsidR="004E58EB" w:rsidRPr="000F4E41">
              <w:rPr>
                <w:rFonts w:ascii="Times New Roman" w:hAnsi="Times New Roman"/>
                <w:i/>
              </w:rPr>
              <w:t xml:space="preserve"> w rejestrze TERYT po </w:t>
            </w:r>
            <w:r w:rsidRPr="000F4E41">
              <w:rPr>
                <w:rFonts w:ascii="Times New Roman" w:hAnsi="Times New Roman"/>
                <w:i/>
              </w:rPr>
              <w:lastRenderedPageBreak/>
              <w:t>upływie 6 miesięcy od dnia</w:t>
            </w:r>
            <w:r w:rsidR="004E58EB" w:rsidRPr="000F4E41">
              <w:rPr>
                <w:rFonts w:ascii="Times New Roman" w:hAnsi="Times New Roman"/>
                <w:i/>
              </w:rPr>
              <w:t xml:space="preserve"> wejścia w życie </w:t>
            </w:r>
            <w:r w:rsidR="00101E4B" w:rsidRPr="000F4E41">
              <w:rPr>
                <w:rFonts w:ascii="Times New Roman" w:hAnsi="Times New Roman"/>
                <w:i/>
              </w:rPr>
              <w:t>art. 1 pkt 1</w:t>
            </w:r>
            <w:r w:rsidR="003459EB" w:rsidRPr="000F4E41">
              <w:rPr>
                <w:rFonts w:ascii="Times New Roman" w:hAnsi="Times New Roman"/>
                <w:i/>
              </w:rPr>
              <w:t>9</w:t>
            </w:r>
            <w:r w:rsidR="00101E4B" w:rsidRPr="000F4E41">
              <w:rPr>
                <w:rFonts w:ascii="Times New Roman" w:hAnsi="Times New Roman"/>
                <w:i/>
              </w:rPr>
              <w:t xml:space="preserve"> lit. c </w:t>
            </w:r>
            <w:r w:rsidR="004E58EB" w:rsidRPr="000F4E41">
              <w:rPr>
                <w:rFonts w:ascii="Times New Roman" w:hAnsi="Times New Roman"/>
                <w:i/>
              </w:rPr>
              <w:t>niniejszej ustawy;</w:t>
            </w:r>
          </w:p>
          <w:p w14:paraId="2397239B" w14:textId="58629CDF" w:rsidR="004E58EB" w:rsidRPr="000F4E41" w:rsidRDefault="004E58EB" w:rsidP="006602FF">
            <w:pPr>
              <w:pStyle w:val="Akapitzlist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usługi sieciowe, o których mowa w art. 48 ust. 3 ustawy zmienianej w art. 1, w brzmieniu nadanym niniejszą ustawą</w:t>
            </w:r>
          </w:p>
          <w:p w14:paraId="23F1507C" w14:textId="7310C5CF" w:rsidR="004E58EB" w:rsidRPr="000F4E41" w:rsidRDefault="004E58EB" w:rsidP="00214F5F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 xml:space="preserve">– dla potrzeb </w:t>
            </w:r>
            <w:r w:rsidR="00101E4B" w:rsidRPr="000F4E41">
              <w:rPr>
                <w:rFonts w:ascii="Times New Roman" w:hAnsi="Times New Roman"/>
                <w:i/>
              </w:rPr>
              <w:t xml:space="preserve">oznaczania </w:t>
            </w:r>
            <w:r w:rsidRPr="000F4E41">
              <w:rPr>
                <w:rFonts w:ascii="Times New Roman" w:hAnsi="Times New Roman"/>
                <w:i/>
              </w:rPr>
              <w:t xml:space="preserve">jednoznacznego charakteru zmian, o których mowa w art. 48a ust. 2 ustawy zmienianej w art. 1, w brzmieniu nadanym niniejszą ustawą, </w:t>
            </w:r>
            <w:r w:rsidR="00A9361F" w:rsidRPr="000F4E41">
              <w:rPr>
                <w:rFonts w:ascii="Times New Roman" w:hAnsi="Times New Roman"/>
                <w:i/>
              </w:rPr>
              <w:t xml:space="preserve">w terminie 2 lat od dnia ogłoszenia </w:t>
            </w:r>
            <w:r w:rsidRPr="000F4E41">
              <w:rPr>
                <w:rFonts w:ascii="Times New Roman" w:hAnsi="Times New Roman"/>
                <w:i/>
              </w:rPr>
              <w:t>ustawy.</w:t>
            </w:r>
          </w:p>
          <w:p w14:paraId="188BC44E" w14:textId="4B385E76" w:rsidR="00214F5F" w:rsidRPr="000F4E41" w:rsidRDefault="00214F5F" w:rsidP="006602FF">
            <w:pPr>
              <w:pStyle w:val="Akapitzlist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b/>
                <w:i/>
              </w:rPr>
              <w:t>Organy i sądy</w:t>
            </w:r>
            <w:r w:rsidRPr="000F4E41">
              <w:rPr>
                <w:rFonts w:ascii="Times New Roman" w:hAnsi="Times New Roman"/>
                <w:i/>
              </w:rPr>
              <w:t xml:space="preserve"> prowadzące rejestry urzędowe i systemy informacyjne administracji publicznej, w tym rejestry sądowe, które w dniu wejścia w życie niniejszej ustawy nie spełniają wymagań określonych w art. 48a ustawy zmienianej w art. 1, dostosują te rejestry urzędowe i systemy informacyjne do wymagań określonych w art. 48a ustawy zmienianej w art. 1, w terminie </w:t>
            </w:r>
            <w:r w:rsidR="00A9361F" w:rsidRPr="000F4E41">
              <w:rPr>
                <w:rFonts w:ascii="Times New Roman" w:hAnsi="Times New Roman"/>
                <w:i/>
              </w:rPr>
              <w:t>4</w:t>
            </w:r>
            <w:r w:rsidRPr="000F4E41">
              <w:rPr>
                <w:rFonts w:ascii="Times New Roman" w:hAnsi="Times New Roman"/>
                <w:i/>
              </w:rPr>
              <w:t xml:space="preserve"> lat od dnia </w:t>
            </w:r>
            <w:r w:rsidR="00A9361F" w:rsidRPr="000F4E41">
              <w:rPr>
                <w:rFonts w:ascii="Times New Roman" w:hAnsi="Times New Roman"/>
                <w:i/>
              </w:rPr>
              <w:t xml:space="preserve">ogłoszenia </w:t>
            </w:r>
            <w:r w:rsidRPr="000F4E41">
              <w:rPr>
                <w:rFonts w:ascii="Times New Roman" w:hAnsi="Times New Roman"/>
                <w:i/>
              </w:rPr>
              <w:t>ustawy.”.</w:t>
            </w:r>
          </w:p>
          <w:bookmarkEnd w:id="16"/>
          <w:p w14:paraId="585CCE98" w14:textId="77777777" w:rsidR="00101E4B" w:rsidRPr="000F4E41" w:rsidRDefault="00101E4B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CE738EC" w14:textId="1B558DFD" w:rsidR="00446B2E" w:rsidRPr="000F4E41" w:rsidRDefault="00214F5F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Ponadto z</w:t>
            </w:r>
            <w:r w:rsidR="00EE40F6" w:rsidRPr="000F4E41">
              <w:rPr>
                <w:rFonts w:ascii="Times New Roman" w:hAnsi="Times New Roman"/>
              </w:rPr>
              <w:t>aproponowano</w:t>
            </w:r>
            <w:r w:rsidR="003230B0" w:rsidRPr="000F4E41">
              <w:rPr>
                <w:rFonts w:ascii="Times New Roman" w:hAnsi="Times New Roman"/>
              </w:rPr>
              <w:t xml:space="preserve"> następujące </w:t>
            </w:r>
            <w:r w:rsidR="000828CA" w:rsidRPr="000F4E41">
              <w:rPr>
                <w:rFonts w:ascii="Times New Roman" w:hAnsi="Times New Roman"/>
              </w:rPr>
              <w:t xml:space="preserve">nowe </w:t>
            </w:r>
            <w:r w:rsidR="003230B0" w:rsidRPr="000F4E41">
              <w:rPr>
                <w:rFonts w:ascii="Times New Roman" w:hAnsi="Times New Roman"/>
              </w:rPr>
              <w:t>brzmienie</w:t>
            </w:r>
            <w:r w:rsidR="00446B2E" w:rsidRPr="000F4E41">
              <w:rPr>
                <w:rFonts w:ascii="Times New Roman" w:hAnsi="Times New Roman"/>
              </w:rPr>
              <w:t xml:space="preserve"> art. </w:t>
            </w:r>
            <w:r w:rsidR="00F14AA7" w:rsidRPr="000F4E41">
              <w:rPr>
                <w:rFonts w:ascii="Times New Roman" w:hAnsi="Times New Roman"/>
              </w:rPr>
              <w:t>12</w:t>
            </w:r>
            <w:r w:rsidR="00446B2E" w:rsidRPr="000F4E41">
              <w:rPr>
                <w:rFonts w:ascii="Times New Roman" w:hAnsi="Times New Roman"/>
              </w:rPr>
              <w:t xml:space="preserve"> projektu ustawy</w:t>
            </w:r>
            <w:r w:rsidR="00F14AA7" w:rsidRPr="000F4E41">
              <w:rPr>
                <w:rFonts w:ascii="Times New Roman" w:hAnsi="Times New Roman"/>
              </w:rPr>
              <w:t xml:space="preserve"> (według nowej numeracji)</w:t>
            </w:r>
            <w:r w:rsidR="003230B0" w:rsidRPr="000F4E41">
              <w:rPr>
                <w:rFonts w:ascii="Times New Roman" w:hAnsi="Times New Roman"/>
              </w:rPr>
              <w:t>:</w:t>
            </w:r>
          </w:p>
          <w:p w14:paraId="51FF4ABD" w14:textId="2590CDAD" w:rsidR="000828CA" w:rsidRPr="000F4E41" w:rsidRDefault="000828CA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bookmarkStart w:id="17" w:name="_Hlk164610137"/>
            <w:r w:rsidRPr="000F4E41">
              <w:rPr>
                <w:rFonts w:ascii="Times New Roman" w:hAnsi="Times New Roman"/>
              </w:rPr>
              <w:t>„</w:t>
            </w:r>
            <w:r w:rsidRPr="000F4E41">
              <w:rPr>
                <w:rFonts w:ascii="Times New Roman" w:hAnsi="Times New Roman"/>
                <w:b/>
                <w:i/>
              </w:rPr>
              <w:t xml:space="preserve">Art. </w:t>
            </w:r>
            <w:r w:rsidR="00F14AA7" w:rsidRPr="000F4E41">
              <w:rPr>
                <w:rFonts w:ascii="Times New Roman" w:hAnsi="Times New Roman"/>
                <w:b/>
                <w:i/>
              </w:rPr>
              <w:t>12</w:t>
            </w:r>
            <w:r w:rsidRPr="000F4E41">
              <w:rPr>
                <w:rFonts w:ascii="Times New Roman" w:hAnsi="Times New Roman"/>
                <w:i/>
              </w:rPr>
              <w:t xml:space="preserve">. </w:t>
            </w:r>
            <w:r w:rsidRPr="000F4E41">
              <w:rPr>
                <w:rFonts w:ascii="Times New Roman" w:hAnsi="Times New Roman"/>
                <w:b/>
                <w:i/>
              </w:rPr>
              <w:t xml:space="preserve">Organy </w:t>
            </w:r>
            <w:r w:rsidR="00214F5F" w:rsidRPr="000F4E41">
              <w:rPr>
                <w:rFonts w:ascii="Times New Roman" w:hAnsi="Times New Roman"/>
                <w:b/>
                <w:i/>
              </w:rPr>
              <w:t>i</w:t>
            </w:r>
            <w:r w:rsidRPr="000F4E41">
              <w:rPr>
                <w:rFonts w:ascii="Times New Roman" w:hAnsi="Times New Roman"/>
                <w:b/>
                <w:i/>
              </w:rPr>
              <w:t xml:space="preserve"> sądy</w:t>
            </w:r>
            <w:r w:rsidRPr="000F4E41">
              <w:rPr>
                <w:rFonts w:ascii="Times New Roman" w:hAnsi="Times New Roman"/>
                <w:i/>
              </w:rPr>
              <w:t xml:space="preserve"> prowadzące:</w:t>
            </w:r>
          </w:p>
          <w:p w14:paraId="49E328CC" w14:textId="77777777" w:rsidR="000828CA" w:rsidRPr="000F4E41" w:rsidRDefault="000828CA" w:rsidP="006602F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Centralną Ewidencję i Informację o Działalności Gospodarczej;</w:t>
            </w:r>
          </w:p>
          <w:p w14:paraId="2AA108C8" w14:textId="247DB2B7" w:rsidR="000828CA" w:rsidRPr="000F4E41" w:rsidRDefault="008A2DC6" w:rsidP="006602F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rejestr REGON</w:t>
            </w:r>
            <w:r w:rsidR="000828CA" w:rsidRPr="000F4E41">
              <w:rPr>
                <w:rFonts w:ascii="Times New Roman" w:hAnsi="Times New Roman"/>
                <w:i/>
              </w:rPr>
              <w:t>;</w:t>
            </w:r>
          </w:p>
          <w:p w14:paraId="7EDA9EFE" w14:textId="77777777" w:rsidR="000828CA" w:rsidRPr="000F4E41" w:rsidRDefault="000828CA" w:rsidP="006602FF">
            <w:pPr>
              <w:pStyle w:val="Akapitzlist"/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Krajowy Rejestr Sądowy</w:t>
            </w:r>
          </w:p>
          <w:p w14:paraId="01EF4A8B" w14:textId="439D2D5A" w:rsidR="00446B2E" w:rsidRPr="000F4E41" w:rsidRDefault="000828CA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 xml:space="preserve">– jeżeli rejestry te nie spełniają w dniu wejścia w życie niniejszej ustawy wymagań technicznych umożliwiających automatyczną zmianę w tych rejestrach kodu Polskiej Klasyfikacji Działalności, w sposób określony </w:t>
            </w:r>
            <w:r w:rsidR="00DD5A5B">
              <w:rPr>
                <w:rFonts w:ascii="Times New Roman" w:hAnsi="Times New Roman"/>
                <w:i/>
              </w:rPr>
              <w:t xml:space="preserve">w art. 40a i 40b </w:t>
            </w:r>
            <w:r w:rsidR="000C1C19" w:rsidRPr="000F4E41">
              <w:rPr>
                <w:rFonts w:ascii="Times New Roman" w:hAnsi="Times New Roman"/>
                <w:i/>
              </w:rPr>
              <w:t>ustawy zmienianej w art. 1</w:t>
            </w:r>
            <w:r w:rsidR="000C1C19">
              <w:rPr>
                <w:rFonts w:ascii="Times New Roman" w:hAnsi="Times New Roman"/>
                <w:i/>
              </w:rPr>
              <w:t xml:space="preserve"> </w:t>
            </w:r>
            <w:r w:rsidR="00DD5A5B">
              <w:rPr>
                <w:rFonts w:ascii="Times New Roman" w:hAnsi="Times New Roman"/>
                <w:i/>
              </w:rPr>
              <w:t xml:space="preserve">oraz </w:t>
            </w:r>
            <w:r w:rsidRPr="000F4E41">
              <w:rPr>
                <w:rFonts w:ascii="Times New Roman" w:hAnsi="Times New Roman"/>
                <w:i/>
              </w:rPr>
              <w:t xml:space="preserve">w przepisach wykonawczych wydanych na podstawie art. 40 ust. 2 </w:t>
            </w:r>
            <w:r w:rsidR="000C1C19">
              <w:rPr>
                <w:rFonts w:ascii="Times New Roman" w:hAnsi="Times New Roman"/>
                <w:i/>
              </w:rPr>
              <w:t xml:space="preserve">i 3 </w:t>
            </w:r>
            <w:r w:rsidRPr="000F4E41">
              <w:rPr>
                <w:rFonts w:ascii="Times New Roman" w:hAnsi="Times New Roman"/>
                <w:i/>
              </w:rPr>
              <w:t>ustawy zmienianej w art. 1, dostosują wymienione rejestry do tych wymagań technicznych, w terminie do dnia 31 grudnia 2025 r.”.</w:t>
            </w:r>
            <w:bookmarkEnd w:id="17"/>
          </w:p>
        </w:tc>
      </w:tr>
      <w:tr w:rsidR="00446B2E" w:rsidRPr="000F4E41" w14:paraId="7F4DB020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5426F00E" w14:textId="38B539A9" w:rsidR="00446B2E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</w:t>
            </w:r>
            <w:r w:rsidR="00446B2E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4D422EC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094CAFC6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3 pkt 2 projektu</w:t>
            </w:r>
          </w:p>
          <w:p w14:paraId="5DFFF21B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</w:t>
            </w:r>
            <w:r w:rsidRPr="000F4E41">
              <w:rPr>
                <w:rFonts w:ascii="Times New Roman" w:eastAsiaTheme="minorHAnsi" w:hAnsi="Times New Roman"/>
              </w:rPr>
              <w:t xml:space="preserve">art. 24 ust. 3a ustawy – Prawo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geodezyjne i kartograficzne</w:t>
            </w:r>
            <w:r w:rsidRPr="000F4E41">
              <w:rPr>
                <w:rFonts w:ascii="Times New Roman" w:hAnsi="Times New Roman"/>
              </w:rPr>
              <w:t>)</w:t>
            </w:r>
          </w:p>
          <w:p w14:paraId="3EF7D1F9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443F00F8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lastRenderedPageBreak/>
              <w:t xml:space="preserve">Należy wskazać na nieprawidłowe umiejscowienie przepisu. Projektowany przepis powinien zostać umiejscowiony w art. 24 jako ust. 6. Jednocześnie zwracam uwagę na brak określenia terminu/przesłanek (np. na wniosek, raz w roku)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dokonania przekazania numerycznego opisu granic obrębów ewidencyjnych.</w:t>
            </w:r>
          </w:p>
        </w:tc>
        <w:tc>
          <w:tcPr>
            <w:tcW w:w="5103" w:type="dxa"/>
          </w:tcPr>
          <w:p w14:paraId="6CED3617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  <w:r w:rsidRPr="000F4E41">
              <w:rPr>
                <w:rFonts w:ascii="Times New Roman" w:hAnsi="Times New Roman"/>
              </w:rPr>
              <w:t xml:space="preserve"> </w:t>
            </w:r>
          </w:p>
          <w:p w14:paraId="2202165D" w14:textId="440DC0E9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370023A8" w14:textId="55A7A70D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Zgodnie z uwagą </w:t>
            </w:r>
            <w:proofErr w:type="spellStart"/>
            <w:r w:rsidR="00FE365F" w:rsidRPr="000F4E41">
              <w:rPr>
                <w:rFonts w:ascii="Times New Roman" w:hAnsi="Times New Roman"/>
              </w:rPr>
              <w:t>MRiT</w:t>
            </w:r>
            <w:proofErr w:type="spellEnd"/>
            <w:r w:rsidR="00FE365F" w:rsidRPr="000F4E41">
              <w:rPr>
                <w:rFonts w:ascii="Times New Roman" w:hAnsi="Times New Roman"/>
              </w:rPr>
              <w:t xml:space="preserve">, </w:t>
            </w:r>
            <w:r w:rsidRPr="000F4E41">
              <w:rPr>
                <w:rFonts w:ascii="Times New Roman" w:hAnsi="Times New Roman"/>
              </w:rPr>
              <w:t xml:space="preserve">przepis </w:t>
            </w:r>
            <w:r w:rsidR="00867EF3" w:rsidRPr="000F4E41">
              <w:rPr>
                <w:rFonts w:ascii="Times New Roman" w:hAnsi="Times New Roman"/>
              </w:rPr>
              <w:t>został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867EF3" w:rsidRPr="000F4E41">
              <w:rPr>
                <w:rFonts w:ascii="Times New Roman" w:hAnsi="Times New Roman"/>
              </w:rPr>
              <w:t xml:space="preserve">przeredagowany oraz </w:t>
            </w:r>
            <w:r w:rsidR="00FE365F" w:rsidRPr="000F4E41">
              <w:rPr>
                <w:rFonts w:ascii="Times New Roman" w:hAnsi="Times New Roman"/>
              </w:rPr>
              <w:t xml:space="preserve">oznaczony jako ust. 6 w art. 24 </w:t>
            </w:r>
            <w:r w:rsidR="00FE365F" w:rsidRPr="000F4E41">
              <w:rPr>
                <w:rFonts w:ascii="Times New Roman" w:hAnsi="Times New Roman"/>
              </w:rPr>
              <w:lastRenderedPageBreak/>
              <w:t xml:space="preserve">ustawy – Prawo </w:t>
            </w:r>
            <w:r w:rsidR="00FE365F" w:rsidRPr="000F4E41">
              <w:rPr>
                <w:rFonts w:ascii="Times New Roman" w:eastAsiaTheme="minorHAnsi" w:hAnsi="Times New Roman"/>
              </w:rPr>
              <w:t>geodezyjne i kartograficzne (art. 3 pkt 2 pr</w:t>
            </w:r>
            <w:r w:rsidR="0041691D" w:rsidRPr="000F4E41">
              <w:rPr>
                <w:rFonts w:ascii="Times New Roman" w:eastAsiaTheme="minorHAnsi" w:hAnsi="Times New Roman"/>
              </w:rPr>
              <w:t>o</w:t>
            </w:r>
            <w:r w:rsidR="00FE365F" w:rsidRPr="000F4E41">
              <w:rPr>
                <w:rFonts w:ascii="Times New Roman" w:eastAsiaTheme="minorHAnsi" w:hAnsi="Times New Roman"/>
              </w:rPr>
              <w:t>jektu ustawy).</w:t>
            </w:r>
          </w:p>
          <w:p w14:paraId="1B64B99A" w14:textId="77777777" w:rsidR="00446B2E" w:rsidRPr="000F4E41" w:rsidRDefault="00446B2E" w:rsidP="007214C3">
            <w:pPr>
              <w:pStyle w:val="PKTpunkt0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2310D0F" w14:textId="120437F1" w:rsidR="00446B2E" w:rsidRPr="000F4E41" w:rsidRDefault="00F31284" w:rsidP="007214C3">
            <w:pPr>
              <w:pStyle w:val="PKTpunkt0"/>
              <w:spacing w:line="240" w:lineRule="auto"/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>Proponuje się następujące brzmienie pkt 2 w art. 3 projektu ustawy:</w:t>
            </w:r>
          </w:p>
          <w:p w14:paraId="2ECEB032" w14:textId="4B5962B9" w:rsidR="00446B2E" w:rsidRPr="000F4E41" w:rsidRDefault="00446B2E" w:rsidP="007214C3">
            <w:pPr>
              <w:pStyle w:val="PKTpunkt0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„2) w art. 24 dodaje się ust. 6 w brzmieniu:</w:t>
            </w:r>
          </w:p>
          <w:p w14:paraId="505ABAF3" w14:textId="3C20BB01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ind w:left="510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„6. Starosta, na potrzeby rejestru TERYT</w:t>
            </w:r>
            <w:r w:rsidR="00841D55" w:rsidRPr="000F4E41">
              <w:rPr>
                <w:rFonts w:ascii="Times New Roman" w:hAnsi="Times New Roman"/>
                <w:i/>
              </w:rPr>
              <w:t>,</w:t>
            </w:r>
            <w:r w:rsidRPr="000F4E41">
              <w:rPr>
                <w:rFonts w:ascii="Times New Roman" w:hAnsi="Times New Roman"/>
                <w:i/>
              </w:rPr>
              <w:t xml:space="preserve"> powiadamia właściwy miejscowo urząd statystyczny o dokonaniu zmian w numeracji i przebiegu granic obrębów ewidencyjnych, o których mowa w przepisach wykonawczych wydanych na podstawie art. 26 ust. 2, każdorazowo w przypadku wprowadzenia takich zmian.”</w:t>
            </w:r>
            <w:r w:rsidR="00F31284" w:rsidRPr="000F4E41">
              <w:rPr>
                <w:rFonts w:ascii="Times New Roman" w:hAnsi="Times New Roman"/>
                <w:i/>
              </w:rPr>
              <w:t>.”.</w:t>
            </w:r>
          </w:p>
          <w:p w14:paraId="1F882DBB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65C2BCD0" w14:textId="262F8977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Istotą informowania przez starostów właściwych miejscowo urzędów statystycznych o zmianach dokonanych w numeracji i przebiegu granic obrębów ewidencyjnych jest zapewnienie spójności pomiędzy jednostkami podziału statystycznego (rejonami statystycznymi i obwodami spisowymi) a jednostkami podziału geodezyjnego (obrębami ewidencyjnymi). Obecnie obowiązek ten został określony w §</w:t>
            </w:r>
            <w:r w:rsidR="00841D55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12 ust. 1 pkt 2 rozporządzenia w sprawie rejestru TERYT.</w:t>
            </w:r>
          </w:p>
          <w:p w14:paraId="3E6AA9DE" w14:textId="1D03757A" w:rsidR="00FD3C8D" w:rsidRPr="000F4E41" w:rsidRDefault="00FD3C8D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014F6D2" w14:textId="25B4DA83" w:rsidR="007E2DD5" w:rsidRPr="000F4E41" w:rsidRDefault="00FD3C8D" w:rsidP="007214C3">
            <w:pPr>
              <w:spacing w:after="0" w:line="240" w:lineRule="auto"/>
              <w:rPr>
                <w:rFonts w:ascii="Times New Roman" w:hAnsi="Times New Roman"/>
                <w:highlight w:val="red"/>
              </w:rPr>
            </w:pPr>
            <w:r w:rsidRPr="000F4E41">
              <w:rPr>
                <w:rFonts w:ascii="Times New Roman" w:hAnsi="Times New Roman"/>
              </w:rPr>
              <w:t xml:space="preserve">Przedstawiona powyżej propozycja brzmienia przepisu została przesłana do </w:t>
            </w:r>
            <w:proofErr w:type="spellStart"/>
            <w:r w:rsidR="00F31284" w:rsidRPr="000F4E41">
              <w:rPr>
                <w:rFonts w:ascii="Times New Roman" w:hAnsi="Times New Roman"/>
              </w:rPr>
              <w:t>GUGiK</w:t>
            </w:r>
            <w:proofErr w:type="spellEnd"/>
            <w:r w:rsidR="00F31284" w:rsidRPr="000F4E41">
              <w:rPr>
                <w:rFonts w:ascii="Times New Roman" w:hAnsi="Times New Roman"/>
              </w:rPr>
              <w:t xml:space="preserve"> w celu akceptacji</w:t>
            </w:r>
            <w:r w:rsidR="00841D55"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hAnsi="Times New Roman"/>
              </w:rPr>
              <w:t>– nie zgłoszono zastrzeżeń.</w:t>
            </w:r>
          </w:p>
        </w:tc>
      </w:tr>
      <w:tr w:rsidR="00446B2E" w:rsidRPr="000F4E41" w14:paraId="3B24E17D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26AB3A9" w14:textId="4DA2501B" w:rsidR="00446B2E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25</w:t>
            </w:r>
            <w:r w:rsidR="00446B2E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27B33EF" w14:textId="77777777" w:rsidR="00446B2E" w:rsidRPr="000F4E41" w:rsidRDefault="00446B2E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3B8433FD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3 pkt 3 projektu</w:t>
            </w:r>
          </w:p>
          <w:p w14:paraId="59CB346B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</w:t>
            </w:r>
            <w:r w:rsidRPr="000F4E41">
              <w:rPr>
                <w:rFonts w:ascii="Times New Roman" w:eastAsiaTheme="minorHAnsi" w:hAnsi="Times New Roman"/>
              </w:rPr>
              <w:t>art. 24 ust. 11 ustawy – Prawo geodezyjne i kartograficzne</w:t>
            </w:r>
            <w:r w:rsidRPr="000F4E41">
              <w:rPr>
                <w:rFonts w:ascii="Times New Roman" w:hAnsi="Times New Roman"/>
              </w:rPr>
              <w:t>)</w:t>
            </w:r>
          </w:p>
          <w:p w14:paraId="63A6DFF6" w14:textId="77777777" w:rsidR="00446B2E" w:rsidRPr="000F4E41" w:rsidRDefault="00446B2E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13EABA36" w14:textId="77777777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ust. 11 zastosowano wyrażenie „zestawienia danych dotyczących obszarów przekazywanych w związku z dokonaną zmianą w podziale terytorialnym kraju”. Należy doprecyzować o jakie zestawienia danych chodzi i jakie przekazywane obszary, projektowane brzmienie przepisu jest bowiem niejasne i nieprecyzyjne.</w:t>
            </w:r>
          </w:p>
        </w:tc>
        <w:tc>
          <w:tcPr>
            <w:tcW w:w="5103" w:type="dxa"/>
          </w:tcPr>
          <w:p w14:paraId="52AF097D" w14:textId="49C4879B" w:rsidR="00446B2E" w:rsidRPr="000F4E41" w:rsidRDefault="00446B2E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13932C90" w14:textId="77777777" w:rsidR="00F31284" w:rsidRPr="000F4E41" w:rsidRDefault="00F31284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2EF654ED" w14:textId="56C6823D" w:rsidR="00446B2E" w:rsidRPr="000F4E41" w:rsidRDefault="00446B2E" w:rsidP="007214C3">
            <w:pPr>
              <w:spacing w:after="0" w:line="240" w:lineRule="auto"/>
              <w:rPr>
                <w:rFonts w:ascii="Times New Roman" w:hAnsi="Times New Roman"/>
              </w:rPr>
            </w:pPr>
            <w:bookmarkStart w:id="18" w:name="_Hlk161656064"/>
            <w:r w:rsidRPr="000F4E41">
              <w:rPr>
                <w:rFonts w:ascii="Times New Roman" w:hAnsi="Times New Roman"/>
              </w:rPr>
              <w:t xml:space="preserve">Zestawienie danych dotyczących obszarów przekazywanych w związku z dokonaną zmianą w podziale terytorialnym kraju” stanowi obecnie załącznik nr 2 do rozporządzenia Rady Ministrów z dnia 15 grudnia 1998 r. w sprawie szczegółowych zasad prowadzenia, stosowania i udostępniania krajowego rejestru urzędowego podziału terytorialnego kraju oraz związanych z tym obowiązków organów administracji rządowej i jednostek samorządu </w:t>
            </w:r>
            <w:r w:rsidRPr="000F4E41">
              <w:rPr>
                <w:rFonts w:ascii="Times New Roman" w:hAnsi="Times New Roman"/>
              </w:rPr>
              <w:lastRenderedPageBreak/>
              <w:t xml:space="preserve">terytorialnego (dalej: „rozporządzenie w sprawie rejestru TERYT”) i jest załącznikiem do protokołu zdawczo-odbiorczego w sprawie przekazania mienia pomiędzy gminami  uczestniczącymi w zmianach administracyjnych wprowadzanych w drodze rozporządzenia Rady Ministrów. Obowiązek sporządzania „Zestawienia…” jest aktualnie realizowany w oparciu o przepisy rozporządzenia w sprawie rejestru TERYT (§11 ust. 1 pkt 1). Z kolei protokół, o którym mowa jest załącznikiem do porozumienia zawieranego pomiędzy gminami dotyczącego nabycia mienia przez gminy – wymóg zawarcia porozumienia reguluje art. 44 pkt 2 ustawy z dnia 8 marca 1990 r. o samorządzie gminnym (Dz. U. z 2023 r., poz. 40 z </w:t>
            </w:r>
            <w:proofErr w:type="spellStart"/>
            <w:r w:rsidRPr="000F4E41">
              <w:rPr>
                <w:rFonts w:ascii="Times New Roman" w:hAnsi="Times New Roman"/>
              </w:rPr>
              <w:t>późn</w:t>
            </w:r>
            <w:proofErr w:type="spellEnd"/>
            <w:r w:rsidRPr="000F4E41">
              <w:rPr>
                <w:rFonts w:ascii="Times New Roman" w:hAnsi="Times New Roman"/>
              </w:rPr>
              <w:t>. zm.). Docelowo w nowym rozporządzeniu wykonawczym zestawienie zostanie uwzględnione jako jeden z załączników do rozporządzenia, w którym zostanie określony szczegółowy zakres informacji</w:t>
            </w:r>
            <w:r w:rsidR="0071084E" w:rsidRPr="000F4E41">
              <w:rPr>
                <w:rFonts w:ascii="Times New Roman" w:hAnsi="Times New Roman"/>
              </w:rPr>
              <w:t>,</w:t>
            </w:r>
            <w:r w:rsidRPr="000F4E41">
              <w:rPr>
                <w:rFonts w:ascii="Times New Roman" w:hAnsi="Times New Roman"/>
              </w:rPr>
              <w:t xml:space="preserve"> jakie powinno zawierać zestawienie.</w:t>
            </w:r>
            <w:bookmarkEnd w:id="18"/>
          </w:p>
        </w:tc>
      </w:tr>
      <w:tr w:rsidR="00A66C63" w:rsidRPr="000F4E41" w14:paraId="1B1DFF97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10EB46A3" w14:textId="009E3DB0" w:rsidR="00A66C63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26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2D01A6F8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</w:tc>
        <w:tc>
          <w:tcPr>
            <w:tcW w:w="2410" w:type="dxa"/>
            <w:shd w:val="clear" w:color="auto" w:fill="auto"/>
          </w:tcPr>
          <w:p w14:paraId="336F4412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5 pkt 1 projektu</w:t>
            </w:r>
          </w:p>
          <w:p w14:paraId="4E93476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(</w:t>
            </w:r>
            <w:r w:rsidRPr="000F4E41">
              <w:rPr>
                <w:rFonts w:ascii="Times New Roman" w:hAnsi="Times New Roman"/>
              </w:rPr>
              <w:t xml:space="preserve">dotyczy </w:t>
            </w:r>
            <w:r w:rsidRPr="000F4E41">
              <w:rPr>
                <w:rFonts w:ascii="Times New Roman" w:eastAsiaTheme="minorHAnsi" w:hAnsi="Times New Roman"/>
              </w:rPr>
              <w:t>art. 20e ust. 3 ustawy o Krajowym Rejestrze Sądowym</w:t>
            </w:r>
            <w:r w:rsidRPr="000F4E41">
              <w:rPr>
                <w:rFonts w:ascii="Times New Roman" w:hAnsi="Times New Roman"/>
              </w:rPr>
              <w:t>)</w:t>
            </w:r>
          </w:p>
          <w:p w14:paraId="0327CEC2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293397C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art. 5 pkt 1, dotyczącym wprowadzenia do art. 20e ustawy o Krajowym Rejestrze Sądowym nowego ust. 3, zawierającego warunek „relacji pomiędzy starymi i nowymi danymi o charakterze jednoznacznym”, wymagać może specyficznego podejścia ze strony</w:t>
            </w:r>
          </w:p>
          <w:p w14:paraId="3B51B88F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usługi sieciowej, o jakiej mowa w odesłaniu do art. 48 ust 3 ustawy (w brzmieniu nadanym w art. 1 pkt 20 projektu). Czym innym jest bowiem udostępnianie danych (na stronie internetowej GUS), ale także za pomocą usług sieciowych, a czym innym aktualizowanie</w:t>
            </w:r>
          </w:p>
          <w:p w14:paraId="49221094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danych z równoczesną ich kwalifikacją co do jednoznacznego (lub nie) ich charakteru. Specyfika zapytania o jednoznaczny charakter relacji pomiędzy starymi a nowymi danymi może wymagać innego podejścia po stronie GUS do zaspokojenia takich potrzeb. W świetle potrzeb i obowiązków nałożonych na podmiot prowadzący KRS powstaje wyraźna konieczność zapisania w projekcie szczegółowych zasad określenia standardów udzielania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informacji przez Prezesa GUS dla potrzeb rejestrów sądowych, np. zawarcia porozumienia</w:t>
            </w:r>
          </w:p>
          <w:p w14:paraId="3AE2D44F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pomiędzy Ministrem Sprawiedliwości (prowadzącym system teleinformatyczny obsługujący KRS), a Prezesem GUS (udostępniającym za pomocą usług sieciowych dane z rejestru TERYT – krajowego rejestru urzędowego podziału terytorialnego kraju). Mając na uwadze kilkakrotne wskazywanie w projekcie, iż wprowadzane zasady dotyczyć mają także rejestrów sądowych, takie podejście jest zasadne i odpowiada podejściu projektodawców do zagadnienia objęcia standardami GUS także rejestrów sądowych. </w:t>
            </w:r>
          </w:p>
          <w:p w14:paraId="2AF7ACA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Na marginesie zwrócić należy uwagę, że materia wzajemnych relacji pomiędzy obowiązującymi i wprowadzanymi albo zmienianymi pozycjami klasyfikacjami PKD zasłużyła na ustawowe uregulowanie. W przypadku kodów TERYT tak jednak nie jest. Pomimo istnienia obowiązku niezwłocznego dokonania zmian danych objętych rejestrem TERYT określonych w art. 48 ust. 2 (art. 1 pkt 21 projektu) nie zawarto tam zasady, że taka aktualizacja dotyczyć ma tylko danych mających charakter jednoznaczny. Jedynym ustawowo regulowanym zapisem materii jednoznaczności nowych danych TERYT z dotychczasowymi, zawarta jest dla KRS w projektowanym art.20 e ust. 3 ustawy o Krajowym Rejestrze Sądowym (art. 5 pkt 1 in fine projektu) i wskazanie tam na automatyczne dokonywanie wpisu nowych danych TERYT w KRS w przypadku, gdy relacja pomiędzy starymi i nowymi danymi TERYT ma charakter jednoznaczny. Materii relacji nowych i dotychczasowych danych, zarówno PKD jak i TERYT, winna stanowić podstawę do ujawnienia w rejestrach nowych (zmienionych danych), zatem ranga regulacji winna być identyczna/kompletna i całościowa. Tych postulatów wydaje się nie spełniać regulacja dot. danych zmienianych w bazie TERYT.</w:t>
            </w:r>
          </w:p>
        </w:tc>
        <w:tc>
          <w:tcPr>
            <w:tcW w:w="5103" w:type="dxa"/>
          </w:tcPr>
          <w:p w14:paraId="049A7E33" w14:textId="17FDE974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02F1CD0E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5E82E30" w14:textId="541CC5E6" w:rsidR="00A66C63" w:rsidRPr="000F4E41" w:rsidRDefault="00A66C63" w:rsidP="007214C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Przepis projektu ustawy </w:t>
            </w:r>
            <w:r w:rsidR="003502BD" w:rsidRPr="000F4E41">
              <w:rPr>
                <w:rFonts w:ascii="Times New Roman" w:hAnsi="Times New Roman"/>
              </w:rPr>
              <w:t xml:space="preserve">dotyczący </w:t>
            </w:r>
            <w:r w:rsidRPr="000F4E41">
              <w:rPr>
                <w:rFonts w:ascii="Times New Roman" w:hAnsi="Times New Roman"/>
              </w:rPr>
              <w:t>art. 48a ust. 2</w:t>
            </w:r>
            <w:r w:rsidR="003502BD" w:rsidRPr="000F4E41">
              <w:rPr>
                <w:rFonts w:ascii="Times New Roman" w:hAnsi="Times New Roman"/>
              </w:rPr>
              <w:t xml:space="preserve"> </w:t>
            </w:r>
            <w:r w:rsidR="000172C5" w:rsidRPr="000F4E41">
              <w:rPr>
                <w:rFonts w:ascii="Times New Roman" w:hAnsi="Times New Roman"/>
              </w:rPr>
              <w:t xml:space="preserve">ustawy o statystyce publicznej </w:t>
            </w:r>
            <w:r w:rsidRPr="000F4E41">
              <w:rPr>
                <w:rFonts w:ascii="Times New Roman" w:hAnsi="Times New Roman"/>
              </w:rPr>
              <w:t xml:space="preserve">zostanie uzupełniony o wskazanie, że obowiązek aktualizacji dotyczy sytuacji, w której </w:t>
            </w:r>
            <w:r w:rsidRPr="000F4E41">
              <w:rPr>
                <w:rFonts w:ascii="Times New Roman" w:eastAsiaTheme="minorHAnsi" w:hAnsi="Times New Roman"/>
              </w:rPr>
              <w:t>relacje pomiędzy starymi i nowymi danymi będą miały jednoznaczny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 xml:space="preserve">charakter. </w:t>
            </w:r>
          </w:p>
          <w:p w14:paraId="2740C21A" w14:textId="27F03D6F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Dookreślenie wprowadzone w art. 1 pkt </w:t>
            </w:r>
            <w:r w:rsidR="000172C5" w:rsidRPr="000F4E41">
              <w:rPr>
                <w:rFonts w:ascii="Times New Roman" w:hAnsi="Times New Roman"/>
              </w:rPr>
              <w:t>22</w:t>
            </w:r>
            <w:r w:rsidRPr="000F4E41">
              <w:rPr>
                <w:rFonts w:ascii="Times New Roman" w:hAnsi="Times New Roman"/>
              </w:rPr>
              <w:t xml:space="preserve"> projektu ustawy (art. 48a ust. 2</w:t>
            </w:r>
            <w:r w:rsidR="003502BD" w:rsidRPr="000F4E41">
              <w:rPr>
                <w:rFonts w:ascii="Times New Roman" w:hAnsi="Times New Roman"/>
              </w:rPr>
              <w:t xml:space="preserve"> ustawy o statystyce publicznej</w:t>
            </w:r>
            <w:r w:rsidRPr="000F4E41">
              <w:rPr>
                <w:rFonts w:ascii="Times New Roman" w:hAnsi="Times New Roman"/>
              </w:rPr>
              <w:t>) będzie wymagało przygotowania przez Główny Urząd Statystyczny modyfikacji dotychczasowych rozwiązań w systemach do prowadzenia i udostępniania danych z rejestru, w celu umożliwienia wskazania zmian o jednoznacznym charakterze. Przewiduje się, że będzie to rozwiązanie uniwersalne, z którego będą mogli korzystać wszyscy użytkownicy, nie tylko rejestry sądowe.</w:t>
            </w:r>
          </w:p>
          <w:p w14:paraId="7A63310A" w14:textId="1FE131F6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Jednocześnie w art. </w:t>
            </w:r>
            <w:r w:rsidR="000172C5" w:rsidRPr="000F4E41">
              <w:rPr>
                <w:rFonts w:ascii="Times New Roman" w:hAnsi="Times New Roman"/>
              </w:rPr>
              <w:t>14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0172C5" w:rsidRPr="000F4E41">
              <w:rPr>
                <w:rFonts w:ascii="Times New Roman" w:hAnsi="Times New Roman"/>
              </w:rPr>
              <w:t>zawarto</w:t>
            </w:r>
            <w:r w:rsidRPr="000F4E41">
              <w:rPr>
                <w:rFonts w:ascii="Times New Roman" w:hAnsi="Times New Roman"/>
              </w:rPr>
              <w:t xml:space="preserve"> przepisy zobowiązujące Prezesa Głównego Urzędu </w:t>
            </w:r>
            <w:r w:rsidRPr="000F4E41">
              <w:rPr>
                <w:rFonts w:ascii="Times New Roman" w:hAnsi="Times New Roman"/>
              </w:rPr>
              <w:lastRenderedPageBreak/>
              <w:t>Statystycznego do realizacji ww. działań wraz ze wskazaniem terminu ich przeprowadzenia. Przewiduje się, że oznaczanie zmian o jednoznacznym charakterze będzie realizowane dla zmian</w:t>
            </w:r>
            <w:r w:rsidR="00C44D09" w:rsidRPr="000F4E41">
              <w:rPr>
                <w:rFonts w:ascii="Times New Roman" w:hAnsi="Times New Roman"/>
              </w:rPr>
              <w:t>, które zaistnieją</w:t>
            </w:r>
            <w:r w:rsidRPr="000F4E41">
              <w:rPr>
                <w:rFonts w:ascii="Times New Roman" w:hAnsi="Times New Roman"/>
              </w:rPr>
              <w:t xml:space="preserve"> w rejestrze po uruchomieniu nowych rozwiązań. </w:t>
            </w:r>
          </w:p>
          <w:p w14:paraId="4A5D456B" w14:textId="0C71B609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związku z tym działaniem, </w:t>
            </w:r>
            <w:r w:rsidR="00DC04FD" w:rsidRPr="000F4E41">
              <w:rPr>
                <w:rFonts w:ascii="Times New Roman" w:hAnsi="Times New Roman"/>
              </w:rPr>
              <w:t xml:space="preserve">bieg </w:t>
            </w:r>
            <w:r w:rsidRPr="000F4E41">
              <w:rPr>
                <w:rFonts w:ascii="Times New Roman" w:hAnsi="Times New Roman"/>
              </w:rPr>
              <w:t>termin</w:t>
            </w:r>
            <w:r w:rsidR="00DC04FD" w:rsidRPr="000F4E41">
              <w:rPr>
                <w:rFonts w:ascii="Times New Roman" w:hAnsi="Times New Roman"/>
              </w:rPr>
              <w:t>u</w:t>
            </w:r>
            <w:r w:rsidRPr="000F4E41">
              <w:rPr>
                <w:rFonts w:ascii="Times New Roman" w:hAnsi="Times New Roman"/>
              </w:rPr>
              <w:t xml:space="preserve"> przewidzian</w:t>
            </w:r>
            <w:r w:rsidR="00DC04FD" w:rsidRPr="000F4E41">
              <w:rPr>
                <w:rFonts w:ascii="Times New Roman" w:hAnsi="Times New Roman"/>
              </w:rPr>
              <w:t>ego</w:t>
            </w:r>
            <w:r w:rsidRPr="000F4E41">
              <w:rPr>
                <w:rFonts w:ascii="Times New Roman" w:hAnsi="Times New Roman"/>
              </w:rPr>
              <w:t xml:space="preserve"> na dostosowanie się innych rejestrów do wymagań określonych w art. 1 pkt </w:t>
            </w:r>
            <w:r w:rsidR="000172C5" w:rsidRPr="000F4E41">
              <w:rPr>
                <w:rFonts w:ascii="Times New Roman" w:hAnsi="Times New Roman"/>
              </w:rPr>
              <w:t>22</w:t>
            </w:r>
            <w:r w:rsidRPr="000F4E41">
              <w:rPr>
                <w:rFonts w:ascii="Times New Roman" w:hAnsi="Times New Roman"/>
              </w:rPr>
              <w:t xml:space="preserve"> projektu ustawy (art. 48a ust. 2)</w:t>
            </w:r>
            <w:r w:rsidR="00ED18FE" w:rsidRPr="000F4E41">
              <w:rPr>
                <w:rFonts w:ascii="Times New Roman" w:hAnsi="Times New Roman"/>
              </w:rPr>
              <w:t>,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ED18FE" w:rsidRPr="000F4E41">
              <w:rPr>
                <w:rFonts w:ascii="Times New Roman" w:hAnsi="Times New Roman"/>
              </w:rPr>
              <w:t xml:space="preserve"> wskazan</w:t>
            </w:r>
            <w:r w:rsidR="00DC04FD" w:rsidRPr="000F4E41">
              <w:rPr>
                <w:rFonts w:ascii="Times New Roman" w:hAnsi="Times New Roman"/>
              </w:rPr>
              <w:t>ego</w:t>
            </w:r>
            <w:r w:rsidR="00ED18FE" w:rsidRPr="000F4E41">
              <w:rPr>
                <w:rFonts w:ascii="Times New Roman" w:hAnsi="Times New Roman"/>
              </w:rPr>
              <w:t xml:space="preserve"> w art. 14 </w:t>
            </w:r>
            <w:r w:rsidR="0099750A" w:rsidRPr="000F4E41">
              <w:rPr>
                <w:rFonts w:ascii="Times New Roman" w:hAnsi="Times New Roman"/>
              </w:rPr>
              <w:t xml:space="preserve">ust. 2 </w:t>
            </w:r>
            <w:r w:rsidR="00C44D09" w:rsidRPr="000F4E41">
              <w:rPr>
                <w:rFonts w:ascii="Times New Roman" w:hAnsi="Times New Roman"/>
              </w:rPr>
              <w:t xml:space="preserve">został zmieniony na 4 lata i </w:t>
            </w:r>
            <w:r w:rsidR="00DC04FD" w:rsidRPr="000F4E41">
              <w:rPr>
                <w:rFonts w:ascii="Times New Roman" w:hAnsi="Times New Roman"/>
              </w:rPr>
              <w:t>będzie liczony od dnia</w:t>
            </w:r>
            <w:r w:rsidR="00C44D09" w:rsidRPr="000F4E41">
              <w:rPr>
                <w:rFonts w:ascii="Times New Roman" w:hAnsi="Times New Roman"/>
              </w:rPr>
              <w:t xml:space="preserve"> ogłoszenia ustawy</w:t>
            </w:r>
            <w:r w:rsidR="00DC04FD" w:rsidRPr="000F4E41">
              <w:rPr>
                <w:rFonts w:ascii="Times New Roman" w:hAnsi="Times New Roman"/>
              </w:rPr>
              <w:t>.</w:t>
            </w:r>
          </w:p>
          <w:p w14:paraId="564CB3EE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Ponieważ działania związane z oznaczaniem charakteru zmian będą realizowane w ramach prac aktualizacyjnych w rejestrze TERYT i będą dotyczyły wszystkich użytkowników, w opinii projektodawcy nie będą wymagały dodatkowego ustawowego uregulowania oraz ustalania szczegółowych zasad </w:t>
            </w:r>
            <w:r w:rsidRPr="000F4E41">
              <w:rPr>
                <w:rFonts w:ascii="Times New Roman" w:eastAsiaTheme="minorHAnsi" w:hAnsi="Times New Roman"/>
              </w:rPr>
              <w:t>określenia standardów udzielania informacji przez Prezesa GUS np. w formie wskazanego w uwadze</w:t>
            </w:r>
            <w:r w:rsidRPr="000F4E41">
              <w:rPr>
                <w:rFonts w:ascii="Times New Roman" w:hAnsi="Times New Roman"/>
              </w:rPr>
              <w:t xml:space="preserve"> porozumienia.  </w:t>
            </w:r>
          </w:p>
          <w:p w14:paraId="201CEA39" w14:textId="6EC277C2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3579333B" w14:textId="03E98E43" w:rsidR="00A66C63" w:rsidRPr="000F4E41" w:rsidRDefault="00F31284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Proponuje się następujące nowe brzmienie ust. 2 w </w:t>
            </w:r>
            <w:r w:rsidR="00A66C63" w:rsidRPr="000F4E41">
              <w:rPr>
                <w:rFonts w:ascii="Times New Roman" w:hAnsi="Times New Roman"/>
              </w:rPr>
              <w:t xml:space="preserve"> art. 48a</w:t>
            </w:r>
            <w:r w:rsidR="000172C5" w:rsidRPr="000F4E41">
              <w:rPr>
                <w:rFonts w:ascii="Times New Roman" w:hAnsi="Times New Roman"/>
              </w:rPr>
              <w:t xml:space="preserve"> (art. 1 pkt 22 projektu ustawy):</w:t>
            </w:r>
          </w:p>
          <w:p w14:paraId="6C79E39D" w14:textId="39CD904D" w:rsidR="00841D55" w:rsidRPr="000F4E41" w:rsidRDefault="00DF7C10" w:rsidP="00DF7C10">
            <w:pPr>
              <w:pStyle w:val="ZARTzmartartykuempunktem"/>
              <w:spacing w:line="240" w:lineRule="auto"/>
              <w:ind w:left="0"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bookmarkStart w:id="19" w:name="_Hlk164714669"/>
            <w:r w:rsidRPr="005F423A">
              <w:rPr>
                <w:rFonts w:ascii="Times New Roman" w:hAnsi="Times New Roman" w:cs="Times New Roman"/>
                <w:i/>
                <w:sz w:val="22"/>
                <w:szCs w:val="22"/>
              </w:rPr>
              <w:t>„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2. Po każdorazowej aktualizacji danych zawartych w systemach, o których mowa w art. 47 ust. 2 pkt 1-2a, dotyczących zakresu informacyjnego wymienionego w art. 47a ust. 1, art. 47b ust. 1 i art. 47c ust. 1, </w:t>
            </w:r>
            <w:r w:rsidRPr="000F4E41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organy i sądy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wskazane w ust. 1 są obowiązane do niezwłocznego  dokonania zmian wynikających z tej aktualizacji w prowadzonych przez siebie rejestrach i systemach informacyjnych administracji publicznej, </w:t>
            </w:r>
            <w:bookmarkStart w:id="20" w:name="_Hlk164714554"/>
            <w:r w:rsidR="00B86E9B"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w przypadku gdy relacje pomiędzy dotychczasowymi i nowymi danymi mają charakter jednoznaczny, </w:t>
            </w:r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o ile przepis szczególny nie stanowi inaczej.</w:t>
            </w:r>
            <w:bookmarkEnd w:id="20"/>
            <w:r w:rsidRPr="000F4E41">
              <w:rPr>
                <w:rFonts w:ascii="Times New Roman" w:hAnsi="Times New Roman" w:cs="Times New Roman"/>
                <w:i/>
                <w:sz w:val="22"/>
                <w:szCs w:val="22"/>
              </w:rPr>
              <w:t>”.</w:t>
            </w:r>
            <w:bookmarkEnd w:id="19"/>
          </w:p>
        </w:tc>
      </w:tr>
      <w:tr w:rsidR="00A66C63" w:rsidRPr="000F4E41" w14:paraId="1D9293FC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8E2F994" w14:textId="14C31FBF" w:rsidR="00A66C63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68D85AB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MZ</w:t>
            </w:r>
          </w:p>
        </w:tc>
        <w:tc>
          <w:tcPr>
            <w:tcW w:w="2410" w:type="dxa"/>
            <w:shd w:val="clear" w:color="auto" w:fill="auto"/>
          </w:tcPr>
          <w:p w14:paraId="5E4DE855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Propozycja dodania art. 5a</w:t>
            </w:r>
          </w:p>
        </w:tc>
        <w:tc>
          <w:tcPr>
            <w:tcW w:w="5670" w:type="dxa"/>
            <w:shd w:val="clear" w:color="auto" w:fill="auto"/>
          </w:tcPr>
          <w:p w14:paraId="6DD6DE5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Proszę o rozszerzenie zakresu przedmiotowego projektu ustawy przez dodanie zmiany art. 54 ust. 4 ustawy z dnia 28 listopada 2014 r. – Prawo o aktach stanu cywilnego (Dz. U. z 2023 r. poz. 1378 i 1615).</w:t>
            </w:r>
          </w:p>
          <w:p w14:paraId="671CAB29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  <w:p w14:paraId="51DF31F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lastRenderedPageBreak/>
              <w:t>Propozycja zmiany:</w:t>
            </w:r>
          </w:p>
          <w:p w14:paraId="7A8CA40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</w:rPr>
            </w:pPr>
            <w:r w:rsidRPr="000F4E41">
              <w:rPr>
                <w:rFonts w:ascii="Times New Roman" w:eastAsiaTheme="minorHAnsi" w:hAnsi="Times New Roman"/>
                <w:i/>
                <w:iCs/>
                <w:color w:val="000000"/>
              </w:rPr>
              <w:t>„…) w ustawie z dnia 28 listopada 2014 r. – Prawo o aktach stanu cywilnego (Dz. U. z 2023 r. poz. 1378 i 1615) w art. 54 ust. 4 otrzymuje brzmienie:</w:t>
            </w:r>
          </w:p>
          <w:p w14:paraId="007E5FF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  <w:color w:val="000000"/>
              </w:rPr>
            </w:pPr>
            <w:r w:rsidRPr="000F4E41">
              <w:rPr>
                <w:rFonts w:ascii="Times New Roman" w:eastAsiaTheme="minorHAnsi" w:hAnsi="Times New Roman"/>
                <w:i/>
                <w:iCs/>
                <w:color w:val="000000"/>
              </w:rPr>
              <w:t>„4. Karta urodzenia i karta martwego urodzenia są przekazywane kierownikowi urzędu stanu cywilnego na piśmie utrwalonym w postaci elektronicznej, opatrzonym kwalifikowanym podpisem elektronicznym, podpisem osobistym albo z wykorzystaniem sposobu potwierdzania pochodzenia oraz integralności danych dostępnego w systemie teleinformatycznym udostępnianym bezpłatnie przez Zakład Ubezpieczeń Społecznych.”.</w:t>
            </w:r>
          </w:p>
          <w:p w14:paraId="0B344719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</w:p>
          <w:p w14:paraId="6F983EAE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Uzasadnienie:</w:t>
            </w:r>
          </w:p>
          <w:p w14:paraId="3EA9922F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Z dniem 1 stycznia 2024 r. weszły w życie przepisy zmieniające formę sporządzania karty urodzenia i karty martwego urodzenia oraz sposób ich przekazywania do urzędu stanu cywilnego. Dokumenty te mogą być obecnie sporządzane i przekazywane kierownikowi</w:t>
            </w:r>
          </w:p>
          <w:p w14:paraId="0A59E5C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urzędu stanu cywilnego wyłącznie na piśmie utrwalonym w postaci elektronicznej, opatrzonym kwalifikowanym podpisem elektronicznym albo podpisem osobistym. Wymaga to od podmiotów wykonujących działalność leczniczą wyposażenia pracowników</w:t>
            </w:r>
          </w:p>
          <w:p w14:paraId="35D0A875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 xml:space="preserve">upoważnionych do sporządzania karty urodzenia i karty martwego urodzenia w kwalifikowany podpis elektroniczny albo zapewnienia możliwości korzystania z podpisu </w:t>
            </w:r>
          </w:p>
          <w:p w14:paraId="20DB6DF1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osobistego (użycie podpisu osobistego z dowodu osobistego wymaga posiadania czytnika NFC).</w:t>
            </w:r>
          </w:p>
          <w:p w14:paraId="1D157D6F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Ze względu na związane z tym koszty finansowe dla podmiotów wykonujących działalność leczniczą, proponuje się dodanie możliwości opatrywania karty urodzenia i karty martwego</w:t>
            </w:r>
          </w:p>
          <w:p w14:paraId="5C79DEB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urodzenia sporządzanej na piśmie utrwalonym w postaci elektronicznej, tzw. certyfikatem ZUS (z wykorzystaniem sposobu potwierdzania pochodzenia oraz integralności danych dostępnego w systemie teleinformatycznym udostępnianym bezpłatnie przez Zakład</w:t>
            </w:r>
          </w:p>
          <w:p w14:paraId="4A62190D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 xml:space="preserve">Ubezpieczeń Społecznych). Weryfikacja tego podpisu jest zbieżna z weryfikacją podpisu kwalifikowalnego. Certyfikat </w:t>
            </w:r>
            <w:r w:rsidRPr="000F4E41">
              <w:rPr>
                <w:rFonts w:ascii="Times New Roman" w:eastAsiaTheme="minorHAnsi" w:hAnsi="Times New Roman"/>
                <w:color w:val="000000"/>
              </w:rPr>
              <w:lastRenderedPageBreak/>
              <w:t>ZUS to podpis dostępny bezpłatnie dla wszystkich lekarzy i innych pracowników medycznych. Wykorzystywany jest do podpisywania np. e-recepty czy elektronicznego zwolnienia lekarskiego.</w:t>
            </w:r>
          </w:p>
        </w:tc>
        <w:tc>
          <w:tcPr>
            <w:tcW w:w="5103" w:type="dxa"/>
          </w:tcPr>
          <w:p w14:paraId="37732635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nieuwzględniona</w:t>
            </w:r>
          </w:p>
          <w:p w14:paraId="080A2049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067EA41" w14:textId="2528B8CE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 xml:space="preserve">W opinii projektodawcy procedowanie zaproponowanej przez MZ zmiany do projektu ustawy o zmianie ustawy o statystyce publicznej oraz </w:t>
            </w:r>
            <w:r w:rsidRPr="000F4E41">
              <w:rPr>
                <w:rFonts w:ascii="Times New Roman" w:hAnsi="Times New Roman"/>
              </w:rPr>
              <w:t>niektórych innych ustaw nie ma uzasadnienia ze względu na brak bezpośrednich powiązań pomiędzy wskazanymi aktami.</w:t>
            </w:r>
          </w:p>
        </w:tc>
      </w:tr>
      <w:tr w:rsidR="00A66C63" w:rsidRPr="000F4E41" w14:paraId="10A119E4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1B43F241" w14:textId="0B3687FD" w:rsidR="00A66C63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28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18B17AF0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6BC5FC10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6 projektu</w:t>
            </w:r>
          </w:p>
          <w:p w14:paraId="2563D87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  <w:p w14:paraId="02742161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3C31390A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Proponuję następujące brzmienie przepisów zapewniających kompleksową realizację przejścia z PKD 2007 na PKD 2025:</w:t>
            </w:r>
          </w:p>
          <w:p w14:paraId="4766145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 xml:space="preserve">„Art. 6. </w:t>
            </w:r>
            <w:bookmarkStart w:id="21" w:name="_Hlk164775814"/>
            <w:r w:rsidRPr="000F4E41">
              <w:rPr>
                <w:rFonts w:ascii="Times New Roman" w:hAnsi="Times New Roman"/>
              </w:rPr>
              <w:t>W ustawie z dnia 6 marca 2018 r. o Centralnej Ewidencji i Informacji o Działalności Gospodarczej i Punkcie Informacji dla Przedsiębiorcy (Dz. U. z 2022 r. poz. 541) wprowadza się</w:t>
            </w:r>
            <w:r w:rsidRPr="000F4E41">
              <w:rPr>
                <w:rFonts w:ascii="Times New Roman" w:eastAsiaTheme="minorHAnsi" w:hAnsi="Times New Roman"/>
              </w:rPr>
              <w:t xml:space="preserve"> następujące zmiany:</w:t>
            </w:r>
          </w:p>
          <w:p w14:paraId="3226568C" w14:textId="77777777" w:rsidR="00A66C63" w:rsidRPr="000F4E41" w:rsidRDefault="00A66C63" w:rsidP="007214C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art. 21a otrzymuje brzmienie:</w:t>
            </w:r>
          </w:p>
          <w:p w14:paraId="03D2FAA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color w:val="FF0000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„Art. 21a. Zmianie z urzędu podlegają dane, o których mowa w art. 5 ust. 1 pkt 8, jeżeli konieczność dokonania zmiany tych danych wynika </w:t>
            </w:r>
            <w:r w:rsidRPr="000F4E41">
              <w:rPr>
                <w:rFonts w:ascii="Times New Roman" w:hAnsi="Times New Roman"/>
                <w:b/>
              </w:rPr>
              <w:t>ze zmian w przepisach wykonawczych wydanych na podstawie art. 40 ust. 2 i 2a</w:t>
            </w:r>
            <w:r w:rsidRPr="000F4E41">
              <w:rPr>
                <w:rFonts w:ascii="Times New Roman" w:hAnsi="Times New Roman"/>
              </w:rPr>
              <w:t xml:space="preserve"> ustawy z dnia 29 czerwca 1995 r. o statystyce publicznej (Dz. U. z 2023 r. poz. 773 oraz z 2024 r. poz. …) </w:t>
            </w:r>
            <w:r w:rsidRPr="000F4E41">
              <w:rPr>
                <w:rFonts w:ascii="Times New Roman" w:hAnsi="Times New Roman"/>
                <w:b/>
              </w:rPr>
              <w:t>lub z wzajemnych relacji pomiędzy obowiązującą i wprowadzaną albo zmienianą Polską Klasyfikacją Działalności, o których mowa art. 40 ust. 2c</w:t>
            </w:r>
            <w:r w:rsidRPr="000F4E41">
              <w:rPr>
                <w:rFonts w:ascii="Times New Roman" w:hAnsi="Times New Roman"/>
              </w:rPr>
              <w:t xml:space="preserve"> ustawy z dnia 29 czerwca 1995 r. o statystyce publicznej.”</w:t>
            </w:r>
          </w:p>
          <w:p w14:paraId="4FE67836" w14:textId="77777777" w:rsidR="00A66C63" w:rsidRPr="000F4E41" w:rsidRDefault="00A66C63" w:rsidP="007214C3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bookmarkStart w:id="22" w:name="_Hlk164615170"/>
            <w:r w:rsidRPr="000F4E41">
              <w:rPr>
                <w:rFonts w:ascii="Times New Roman" w:eastAsiaTheme="minorHAnsi" w:hAnsi="Times New Roman"/>
              </w:rPr>
              <w:t>w art. 22 ust. 1 otrzymuje brzmienie:</w:t>
            </w:r>
          </w:p>
          <w:p w14:paraId="7AC0E001" w14:textId="1EE95B4E" w:rsidR="00A66C63" w:rsidRPr="000F4E41" w:rsidRDefault="00A66C63" w:rsidP="00560C92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Theme="minorHAnsi" w:hAnsi="Times New Roman"/>
              </w:rPr>
            </w:pPr>
            <w:bookmarkStart w:id="23" w:name="_Hlk164614656"/>
            <w:r w:rsidRPr="000F4E41">
              <w:rPr>
                <w:rFonts w:ascii="Times New Roman" w:eastAsiaTheme="minorHAnsi" w:hAnsi="Times New Roman"/>
              </w:rPr>
              <w:t>„1. CEIDG przekazuje do Centralnego Rejestru Podmiotów – Krajowej Ewidencji Podatników, Głównego Urzędu Statystycznego, Zakładu Ubezpieczeń Społecznych, Kasy Rolniczego Ubezpieczenia Społecznego oraz podmiotów, o których mowa w art. 44 ust. 3,</w:t>
            </w:r>
            <w:r w:rsidR="00560C92"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drogą elektroniczną, dane i informacje, o których mowa w art. 5 ust. 1 pkt 1 i pkt 2a–4, pkt 6 i 6a, pkt 8 oraz w ust. 2 pkt 2, 7–15, 17–24 oraz art. 37 ust. 1 pkt 1, oraz zmiany tych danych i informacji nie później niż w dniu roboczym następującym po dniu uzyskania tych danych i informacji lub ich zmiany.”.</w:t>
            </w:r>
            <w:bookmarkEnd w:id="21"/>
            <w:bookmarkEnd w:id="22"/>
            <w:bookmarkEnd w:id="23"/>
          </w:p>
        </w:tc>
        <w:tc>
          <w:tcPr>
            <w:tcW w:w="5103" w:type="dxa"/>
          </w:tcPr>
          <w:p w14:paraId="6BD311EA" w14:textId="723DB983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4502D78B" w14:textId="1913BA34" w:rsidR="00CE1033" w:rsidRPr="000F4E41" w:rsidRDefault="00CE103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543511A" w14:textId="5E8C3967" w:rsidR="001E0720" w:rsidRPr="000F4E41" w:rsidRDefault="00560C9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Brzmienie </w:t>
            </w:r>
            <w:r w:rsidR="001E0720" w:rsidRPr="000F4E41">
              <w:rPr>
                <w:rFonts w:ascii="Times New Roman" w:hAnsi="Times New Roman"/>
              </w:rPr>
              <w:t>przepisów zmienianych albo dodawanych do</w:t>
            </w:r>
            <w:r w:rsidRPr="000F4E41">
              <w:rPr>
                <w:rFonts w:ascii="Times New Roman" w:hAnsi="Times New Roman"/>
              </w:rPr>
              <w:t xml:space="preserve"> ustaw</w:t>
            </w:r>
            <w:r w:rsidR="001E0720" w:rsidRPr="000F4E41">
              <w:rPr>
                <w:rFonts w:ascii="Times New Roman" w:hAnsi="Times New Roman"/>
              </w:rPr>
              <w:t>y</w:t>
            </w:r>
            <w:r w:rsidRPr="000F4E41">
              <w:rPr>
                <w:rFonts w:ascii="Times New Roman" w:hAnsi="Times New Roman"/>
              </w:rPr>
              <w:t xml:space="preserve"> z dnia 6 marca 2018 r. o Centralnej Ewidencji i Informacji o Działalności Gospodarczej i Punkcie Informacji dla Przedsiębiorcy zostało dostosowane do aktualnej wersji projektu ustawy</w:t>
            </w:r>
            <w:r w:rsidR="00906493" w:rsidRPr="000F4E41">
              <w:rPr>
                <w:rFonts w:ascii="Times New Roman" w:hAnsi="Times New Roman"/>
              </w:rPr>
              <w:t xml:space="preserve"> – art. 6 wg zmienionej numeracji</w:t>
            </w:r>
            <w:r w:rsidRPr="000F4E41">
              <w:rPr>
                <w:rFonts w:ascii="Times New Roman" w:hAnsi="Times New Roman"/>
              </w:rPr>
              <w:t xml:space="preserve"> (</w:t>
            </w:r>
            <w:r w:rsidRPr="000F4E41">
              <w:rPr>
                <w:rFonts w:ascii="Times New Roman" w:hAnsi="Times New Roman"/>
                <w:i/>
              </w:rPr>
              <w:t>vide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1E0720" w:rsidRPr="000F4E41">
              <w:rPr>
                <w:rFonts w:ascii="Times New Roman" w:hAnsi="Times New Roman"/>
              </w:rPr>
              <w:t xml:space="preserve">w szczególności </w:t>
            </w:r>
            <w:r w:rsidRPr="004A6FB3">
              <w:rPr>
                <w:rFonts w:ascii="Times New Roman" w:hAnsi="Times New Roman"/>
              </w:rPr>
              <w:t xml:space="preserve">proponowane </w:t>
            </w:r>
            <w:r w:rsidR="000172C5" w:rsidRPr="004A6FB3">
              <w:rPr>
                <w:rFonts w:ascii="Times New Roman" w:hAnsi="Times New Roman"/>
              </w:rPr>
              <w:t xml:space="preserve">w art. 1 pkt 7 projektu </w:t>
            </w:r>
            <w:r w:rsidRPr="004A6FB3">
              <w:rPr>
                <w:rFonts w:ascii="Times New Roman" w:hAnsi="Times New Roman"/>
              </w:rPr>
              <w:t>nowe brzmienie art. 40 ustawy o statystyce publicznej).</w:t>
            </w:r>
            <w:r w:rsidRPr="000F4E41">
              <w:rPr>
                <w:rFonts w:ascii="Times New Roman" w:hAnsi="Times New Roman"/>
              </w:rPr>
              <w:t xml:space="preserve"> </w:t>
            </w:r>
          </w:p>
          <w:p w14:paraId="0E0ABA75" w14:textId="77777777" w:rsidR="000172C5" w:rsidRPr="000F4E41" w:rsidRDefault="000172C5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0A2C6A1" w14:textId="6B35E7CE" w:rsidR="00560C92" w:rsidRPr="000F4E41" w:rsidRDefault="00560C92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Przepis </w:t>
            </w:r>
            <w:r w:rsidR="001E0720" w:rsidRPr="000F4E41">
              <w:rPr>
                <w:rFonts w:ascii="Times New Roman" w:hAnsi="Times New Roman"/>
              </w:rPr>
              <w:t xml:space="preserve">art. 21a  ustawy z dnia 6 marca 2018 r. o Centralnej Ewidencji i Informacji o Działalności Gospodarczej i Punkcie Informacji dla Przedsiębiorcy </w:t>
            </w:r>
            <w:r w:rsidRPr="000F4E41">
              <w:rPr>
                <w:rFonts w:ascii="Times New Roman" w:hAnsi="Times New Roman"/>
              </w:rPr>
              <w:t>otrzym</w:t>
            </w:r>
            <w:r w:rsidR="00432B70" w:rsidRPr="000F4E41">
              <w:rPr>
                <w:rFonts w:ascii="Times New Roman" w:hAnsi="Times New Roman"/>
              </w:rPr>
              <w:t>uje</w:t>
            </w:r>
            <w:r w:rsidRPr="000F4E41">
              <w:rPr>
                <w:rFonts w:ascii="Times New Roman" w:hAnsi="Times New Roman"/>
              </w:rPr>
              <w:t xml:space="preserve"> brzmienie:</w:t>
            </w:r>
          </w:p>
          <w:p w14:paraId="25712816" w14:textId="6D4B92DC" w:rsidR="00560C92" w:rsidRPr="000F4E41" w:rsidRDefault="00560C92" w:rsidP="0056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</w:rPr>
            </w:pPr>
            <w:bookmarkStart w:id="24" w:name="_Hlk164614264"/>
            <w:r w:rsidRPr="000F4E41">
              <w:rPr>
                <w:rFonts w:ascii="Times New Roman" w:eastAsiaTheme="minorHAnsi" w:hAnsi="Times New Roman"/>
                <w:i/>
              </w:rPr>
              <w:t xml:space="preserve">„Art. 21a. Zmianie z urzędu podlegają dane, o których mowa w art. 5 ust. 1 pkt 8, jeżeli konieczność dokonania zmiany tych danych wynika </w:t>
            </w:r>
            <w:r w:rsidRPr="000F4E41">
              <w:rPr>
                <w:rFonts w:ascii="Times New Roman" w:hAnsi="Times New Roman"/>
                <w:i/>
              </w:rPr>
              <w:t>ze zmian w przepisach wykonawczych wydanych na podstawie art. 40 ust. 2</w:t>
            </w:r>
            <w:r w:rsidR="00A275EC" w:rsidRPr="000F4E41">
              <w:rPr>
                <w:rFonts w:ascii="Times New Roman" w:hAnsi="Times New Roman"/>
                <w:i/>
              </w:rPr>
              <w:t xml:space="preserve"> i 3</w:t>
            </w:r>
            <w:r w:rsidRPr="000F4E41">
              <w:rPr>
                <w:rFonts w:ascii="Times New Roman" w:hAnsi="Times New Roman"/>
                <w:i/>
              </w:rPr>
              <w:t xml:space="preserve"> ustawy z dnia 29 czerwca 1995 r. o statystyce publicznej (Dz. U. z 2023 r. poz. 773 oraz z 2024 r. poz. …) .”.</w:t>
            </w:r>
          </w:p>
          <w:bookmarkEnd w:id="24"/>
          <w:p w14:paraId="402A044C" w14:textId="77777777" w:rsidR="00560C92" w:rsidRPr="000F4E41" w:rsidRDefault="00560C92" w:rsidP="00560C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  <w:p w14:paraId="13F5951D" w14:textId="56246F3B" w:rsidR="00A66C63" w:rsidRPr="000F4E41" w:rsidRDefault="00432B70" w:rsidP="007214C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0F4E41">
              <w:rPr>
                <w:rFonts w:ascii="Times New Roman" w:hAnsi="Times New Roman"/>
              </w:rPr>
              <w:t xml:space="preserve">Przepis art. 22  ust. 1 ustawy z dnia 6 marca 2018 r. o Centralnej Ewidencji i Informacji o Działalności Gospodarczej i Punkcie Informacji dla Przedsiębiorcy otrzymuje brzmienie zaproponowane przez </w:t>
            </w: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>.</w:t>
            </w:r>
          </w:p>
          <w:p w14:paraId="1DFC1C36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  <w:p w14:paraId="49EFD3E7" w14:textId="7CE7DF63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C63" w:rsidRPr="000F4E41" w14:paraId="72149E7F" w14:textId="77777777" w:rsidTr="00AA3D19">
        <w:trPr>
          <w:trHeight w:val="699"/>
        </w:trPr>
        <w:tc>
          <w:tcPr>
            <w:tcW w:w="559" w:type="dxa"/>
            <w:shd w:val="clear" w:color="auto" w:fill="auto"/>
          </w:tcPr>
          <w:p w14:paraId="0F6AF28F" w14:textId="7B944A84" w:rsidR="00A66C63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14E80A4E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  <w:p w14:paraId="24E00836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</w:t>
            </w:r>
            <w:r w:rsidRPr="000F4E41">
              <w:rPr>
                <w:rFonts w:ascii="Times New Roman" w:hAnsi="Times New Roman"/>
              </w:rPr>
              <w:br/>
              <w:t>w trybie roboczym)</w:t>
            </w:r>
          </w:p>
        </w:tc>
        <w:tc>
          <w:tcPr>
            <w:tcW w:w="2410" w:type="dxa"/>
            <w:shd w:val="clear" w:color="auto" w:fill="auto"/>
          </w:tcPr>
          <w:p w14:paraId="41A7CA19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7 projektu</w:t>
            </w:r>
          </w:p>
          <w:p w14:paraId="5D00E9B0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711DF28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53AAA951" w14:textId="77777777" w:rsidR="00A66C63" w:rsidRPr="000F4E41" w:rsidRDefault="00A66C63" w:rsidP="007214C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 xml:space="preserve">W art. 7 projektu nadawane jest nowe brzmienie ust. 5 w art. 9 ustawy z dnia 6 grudnia 2018 r. o Krajowym Rejestrze Zadłużonych (ustawa o KRZ). Przepis ten winien otrzymać brzemiennie identyczne jak to zaprojektowano dla odpowiednich regulacji projektu dla ksiąg wieczystych i rejestru zastawów (art. 2 i 4 projektu). Uzasadnieniem </w:t>
            </w:r>
            <w:r w:rsidRPr="000F4E41">
              <w:rPr>
                <w:rFonts w:ascii="Times New Roman" w:eastAsia="Times New Roman" w:hAnsi="Times New Roman"/>
              </w:rPr>
              <w:lastRenderedPageBreak/>
              <w:t>zmiany jest identyczna sytuacja i potrzeby KRZ jak w przypadku KW i RZ. Dotychczasowe brzmienie propozycji objęte art. 9 ust 5 zdanie pierwsze ustawy o KRZ zawiera niekwestionowane i funkcjonujące już rozwiązanie oparte o korzystanie ze słowników TERYT dla wypełniania wniosków i pism kierowanych do KRZ. Nie obejmuje zatem aktualizowania wpisów dokonanych w Rejestrze KRZ w zakresie zmienianych danych adresowych w wyniku zmian danych w rejestrze TERYT.</w:t>
            </w:r>
          </w:p>
        </w:tc>
        <w:tc>
          <w:tcPr>
            <w:tcW w:w="5103" w:type="dxa"/>
          </w:tcPr>
          <w:p w14:paraId="6926F6F5" w14:textId="20CA8EB1" w:rsidR="00A66C63" w:rsidRPr="005F423A" w:rsidRDefault="00A66C63" w:rsidP="007214C3">
            <w:pPr>
              <w:pStyle w:val="ARTartustawynprozporzdzenia"/>
              <w:spacing w:before="0" w:line="240" w:lineRule="auto"/>
              <w:ind w:firstLine="0"/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lastRenderedPageBreak/>
              <w:t>Wyjaśnienie</w:t>
            </w:r>
            <w:r w:rsidR="005408AE" w:rsidRPr="000F4E41">
              <w:rPr>
                <w:rStyle w:val="Ppogrubienie"/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706FC995" w14:textId="42E55E28" w:rsidR="00A66C63" w:rsidRPr="000F4E41" w:rsidRDefault="00A66C63" w:rsidP="007214C3">
            <w:pPr>
              <w:pStyle w:val="ARTartustawynprozporzdzenia"/>
              <w:spacing w:before="0" w:line="240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F4E41">
              <w:rPr>
                <w:rFonts w:ascii="Times New Roman" w:hAnsi="Times New Roman" w:cs="Times New Roman"/>
                <w:sz w:val="22"/>
                <w:szCs w:val="22"/>
              </w:rPr>
              <w:t xml:space="preserve">Propozycja brzmienia przepisu została przekazana przez Ministerstwo Sprawiedliwości w czerwcu 2023 r. </w:t>
            </w:r>
          </w:p>
          <w:p w14:paraId="552E7393" w14:textId="204D4F8D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</w:rPr>
              <w:t xml:space="preserve">Jeśli brzmienie tego przepisu budzi obecnie wątpliwości Ministerstwa, prosimy o przekazanie </w:t>
            </w:r>
            <w:r w:rsidRPr="000F4E41">
              <w:rPr>
                <w:rFonts w:ascii="Times New Roman" w:hAnsi="Times New Roman"/>
              </w:rPr>
              <w:lastRenderedPageBreak/>
              <w:t xml:space="preserve">nowej propozycji, która zostanie wprowadzona do ustawy o KRZ. </w:t>
            </w:r>
          </w:p>
        </w:tc>
      </w:tr>
      <w:tr w:rsidR="00A66C63" w:rsidRPr="000F4E41" w14:paraId="0E93DB16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1C117503" w14:textId="6F0135B7" w:rsidR="00A66C63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30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4C2A5C4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1A5E3A74" w14:textId="712620AC" w:rsidR="00A66C63" w:rsidRPr="000F4E41" w:rsidRDefault="00A66C63" w:rsidP="007214C3">
            <w:pPr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Propozycja dodania przepisów epizodycznych</w:t>
            </w:r>
          </w:p>
          <w:p w14:paraId="2BF53D59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</w:p>
          <w:p w14:paraId="7A3F4490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6836423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Proponuję dodanie następujących przepisów do ustawy o zmianie ustawy o statystyce publicznej, które zapewnią kompleksowe przejście z PKD 2007 na PKD 2025:</w:t>
            </w:r>
          </w:p>
          <w:p w14:paraId="04974C91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bookmarkStart w:id="25" w:name="_Hlk164777616"/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„Art. X. </w:t>
            </w:r>
            <w:r w:rsidRPr="000F4E41">
              <w:rPr>
                <w:rFonts w:ascii="Times New Roman" w:eastAsiaTheme="minorHAnsi" w:hAnsi="Times New Roman"/>
              </w:rPr>
              <w:t>1. Po wydaniu nowych albo zmianie dotychczasowych przepisów wykonawczych wydanych na podstawie art. 40 ust. 2 i 2a oraz ust. 2c ustawy zmienianej w art. 1, w brzmieniu nadanym niniejszą ustawą, podmioty wpisane do Centralnej Ewidencji</w:t>
            </w:r>
          </w:p>
          <w:p w14:paraId="3B61119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i Informacji o Działalności Gospodarczej składając wniosek </w:t>
            </w:r>
            <w:r w:rsidRPr="000F4E41">
              <w:rPr>
                <w:rFonts w:ascii="Times New Roman" w:hAnsi="Times New Roman"/>
              </w:rPr>
              <w:t xml:space="preserve">o zmianę wpisu </w:t>
            </w:r>
            <w:r w:rsidRPr="000F4E41">
              <w:rPr>
                <w:rFonts w:ascii="Times New Roman" w:eastAsiaTheme="minorHAnsi" w:hAnsi="Times New Roman"/>
              </w:rPr>
              <w:t>w Centralnej Ewidencji i Informacji o Działalności Gospodarczej zobowiązane są wskazać kody Polskiej Klasyfikacji Działalności, wynikające z tych przepisów wykonawczych.</w:t>
            </w:r>
          </w:p>
          <w:p w14:paraId="15EBDF0A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2. Wniosek o zmianę wpisu, o którym mowa w ust. 1 przedsiębiorca ma obowiązek złożyć przed upływem terminu równoczesnego stosowania dotychczasowej i wprowadzanej albo zmienianej Polskiej Klasyfikacji Działalności, określonego w przepisach wykonawczych</w:t>
            </w:r>
          </w:p>
          <w:p w14:paraId="14D843A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wydanych na podstawie art. 40 ust. 2 i 2a ustawy zmienianej w art. 1, w brzmieniu nadanym niniejszą ustawą.</w:t>
            </w:r>
          </w:p>
          <w:p w14:paraId="47A8EA70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3. Obowiązek wskazania kodu Polskiej Klasyfikacji Działalności wynikającego z nowych albo zmienionych dotychczasowych przepisów wykonawczych wydanych na podstawie art. 40 ust. 2 i 2a oraz ust. 2c ustawy zmienianej w art. 1, w brzmieniu nadanym niniejszą ustawą, o którym mowa w ust. 1, nie stosuje się do wniosku o wpis do Centralnej Ewidencji i Informacji o Działalności Gospodarczej, w którym przedsiębiorca wskazał datę zaprzestania wykonywania działalności oraz do wniosku o wpis do Centralnej Ewidencji i Informacji o Działalności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Gospodarczej z informacją o niepodjęciu działalności gospodarczej.</w:t>
            </w:r>
          </w:p>
          <w:p w14:paraId="3636931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</w:rPr>
            </w:pPr>
          </w:p>
          <w:p w14:paraId="66B4DED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Art. Y. </w:t>
            </w:r>
            <w:r w:rsidRPr="000F4E41">
              <w:rPr>
                <w:rFonts w:ascii="Times New Roman" w:eastAsiaTheme="minorHAnsi" w:hAnsi="Times New Roman"/>
              </w:rPr>
              <w:t>1. Po upływie terminu, o którym mowa w art. X ust. 2, w przypadku niedokonania zmiany wpisu w Centralnej Ewidencji i Informacji o Działalności Gospodarczej, o której mowa w art. X ust. 1, kod ten jest zmieniany w CEIDG z urzędu, w sposób ustalony we</w:t>
            </w:r>
          </w:p>
          <w:p w14:paraId="43D6055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wzajemnych relacjach pomiędzy obowiązującą i wprowadzaną albo zmienianą Polską Klasyfikacją Działalności, o których mowa w art. 40 ust. 2c ustawy zmienianej w art. 1, w brzmieniu nadanym niniejszą ustawą, o ile to możliwe.</w:t>
            </w:r>
          </w:p>
          <w:p w14:paraId="0497EAFF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2. Zmiany, o której mowa w ust. 1, Centralna Ewidencja i Informacja o Działalności Gospodarczej dokonuje w terminie 30 dni, od dnia upływu terminu równoczesnego stosowania dotychczasowej i wprowadzanej albo zmienianej klasyfikacji, określonego w przepisach wykonawczych wydanych na podstawie art. 40 ust. 2 i 2a ustawy zmienianej w art. 1, w brzmieniu nadanym niniejszą ustawą.</w:t>
            </w:r>
          </w:p>
          <w:p w14:paraId="531EECF0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3. </w:t>
            </w:r>
            <w:r w:rsidRPr="000F4E41">
              <w:rPr>
                <w:rFonts w:ascii="Times New Roman" w:hAnsi="Times New Roman"/>
              </w:rPr>
              <w:t xml:space="preserve">Po upływie terminu określonego w ust. 2, Centralna Ewidencja i Informacja o Działalności Gospodarczej wykreśla wpis, dla którego nie dokonano </w:t>
            </w:r>
            <w:r w:rsidRPr="000F4E41">
              <w:rPr>
                <w:rFonts w:ascii="Times New Roman" w:hAnsi="Times New Roman"/>
                <w:b/>
              </w:rPr>
              <w:t>zmiany kodu</w:t>
            </w:r>
            <w:r w:rsidRPr="000F4E41">
              <w:rPr>
                <w:rFonts w:ascii="Times New Roman" w:hAnsi="Times New Roman"/>
              </w:rPr>
              <w:t xml:space="preserve"> Polskiej Klasyfikacji Działalności, w sposób o którym mowa w ust. 1 z Centralnej Ewidencji i Informacji o Działalności Gospodarczej.</w:t>
            </w:r>
          </w:p>
          <w:p w14:paraId="647484C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</w:rPr>
            </w:pPr>
          </w:p>
          <w:p w14:paraId="6516E570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bookmarkStart w:id="26" w:name="_Hlk164778729"/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Art. Z. </w:t>
            </w:r>
            <w:r w:rsidRPr="000F4E41">
              <w:rPr>
                <w:rFonts w:ascii="Times New Roman" w:eastAsiaTheme="minorHAnsi" w:hAnsi="Times New Roman"/>
              </w:rPr>
              <w:t>Do wniosków o wpis do Centralnej Ewidencji i Informacji o Działalności Gospodarczej złożonych w wybranym urzędzie gminy albo wysłanych przesyłką rejestrowaną w rozumieniu przepisów ustawy z dnia 23 listopada 2012 r. – Prawo pocztowe na adres wybranego urzędu gminy do dnia 31 grudnia 2024 r., w których</w:t>
            </w:r>
          </w:p>
          <w:p w14:paraId="3A6CF266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przedsiębiorca dokonuje zmiany kodu wykonywanej działalności gospodarczej (PKD), stosuje się zmienione dotychczasowe przepisy wykonawcze wydane na podstawie art. 40 ust. 2 ustawy zmienianej w art. 1.”.</w:t>
            </w:r>
            <w:bookmarkEnd w:id="25"/>
            <w:bookmarkEnd w:id="26"/>
          </w:p>
        </w:tc>
        <w:tc>
          <w:tcPr>
            <w:tcW w:w="5103" w:type="dxa"/>
          </w:tcPr>
          <w:p w14:paraId="5F061F33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4A6FB3">
              <w:rPr>
                <w:rFonts w:ascii="Times New Roman" w:hAnsi="Times New Roman"/>
                <w:b/>
              </w:rPr>
              <w:lastRenderedPageBreak/>
              <w:t>Uwaga uwzględniona</w:t>
            </w:r>
            <w:r w:rsidRPr="004A6FB3">
              <w:rPr>
                <w:rFonts w:ascii="Times New Roman" w:hAnsi="Times New Roman"/>
              </w:rPr>
              <w:t>.</w:t>
            </w:r>
            <w:r w:rsidRPr="000F4E41">
              <w:rPr>
                <w:rFonts w:ascii="Times New Roman" w:hAnsi="Times New Roman"/>
              </w:rPr>
              <w:t xml:space="preserve"> </w:t>
            </w:r>
          </w:p>
          <w:p w14:paraId="13BD6B8F" w14:textId="2EE23F7E" w:rsidR="001D7EBD" w:rsidRPr="000F4E41" w:rsidRDefault="001D7EBD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C366B83" w14:textId="728CE283" w:rsidR="0066691B" w:rsidRPr="000F4E41" w:rsidRDefault="001D7EBD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Przepisy zaproponowane przez </w:t>
            </w: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 xml:space="preserve"> zosta</w:t>
            </w:r>
            <w:r w:rsidR="0066691B" w:rsidRPr="000F4E41">
              <w:rPr>
                <w:rFonts w:ascii="Times New Roman" w:hAnsi="Times New Roman"/>
              </w:rPr>
              <w:t>ły</w:t>
            </w:r>
            <w:r w:rsidRPr="000F4E41">
              <w:rPr>
                <w:rFonts w:ascii="Times New Roman" w:hAnsi="Times New Roman"/>
              </w:rPr>
              <w:t xml:space="preserve"> zamieszczone w nowej wersji projektu ustawy </w:t>
            </w:r>
            <w:r w:rsidR="0066691B" w:rsidRPr="000F4E41">
              <w:rPr>
                <w:rFonts w:ascii="Times New Roman" w:hAnsi="Times New Roman"/>
              </w:rPr>
              <w:t>(art. 9-11 według zmienionej numeracji). Wprowadzono w nich konieczne</w:t>
            </w:r>
            <w:r w:rsidRPr="000F4E41">
              <w:rPr>
                <w:rFonts w:ascii="Times New Roman" w:hAnsi="Times New Roman"/>
              </w:rPr>
              <w:t xml:space="preserve"> popraw</w:t>
            </w:r>
            <w:r w:rsidR="0066691B" w:rsidRPr="000F4E41">
              <w:rPr>
                <w:rFonts w:ascii="Times New Roman" w:hAnsi="Times New Roman"/>
              </w:rPr>
              <w:t>ki</w:t>
            </w:r>
            <w:r w:rsidRPr="000F4E41">
              <w:rPr>
                <w:rFonts w:ascii="Times New Roman" w:hAnsi="Times New Roman"/>
              </w:rPr>
              <w:t xml:space="preserve"> o charakterze wynikowym.</w:t>
            </w:r>
            <w:r w:rsidR="0066691B" w:rsidRPr="000F4E41">
              <w:rPr>
                <w:rFonts w:ascii="Times New Roman" w:hAnsi="Times New Roman"/>
              </w:rPr>
              <w:t xml:space="preserve"> </w:t>
            </w:r>
          </w:p>
          <w:p w14:paraId="38AA87D6" w14:textId="091C07FC" w:rsidR="001D7EBD" w:rsidRPr="000F4E41" w:rsidRDefault="0066691B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Brzmienie tych przepisów zostało dostosowane do aktualnej wersji projektu ustawy (</w:t>
            </w:r>
            <w:r w:rsidRPr="000F4E41">
              <w:rPr>
                <w:rFonts w:ascii="Times New Roman" w:hAnsi="Times New Roman"/>
                <w:i/>
              </w:rPr>
              <w:t>vide</w:t>
            </w:r>
            <w:r w:rsidRPr="000F4E41">
              <w:rPr>
                <w:rFonts w:ascii="Times New Roman" w:hAnsi="Times New Roman"/>
              </w:rPr>
              <w:t xml:space="preserve"> w szczególności proponowane nowe brzmienie art. 40</w:t>
            </w:r>
            <w:r w:rsidR="00A275EC" w:rsidRPr="000F4E41">
              <w:rPr>
                <w:rFonts w:ascii="Times New Roman" w:hAnsi="Times New Roman"/>
              </w:rPr>
              <w:t xml:space="preserve">, 40a i 40b </w:t>
            </w:r>
            <w:r w:rsidRPr="000F4E41">
              <w:rPr>
                <w:rFonts w:ascii="Times New Roman" w:hAnsi="Times New Roman"/>
              </w:rPr>
              <w:t xml:space="preserve">ustawy o statystyce publicznej). </w:t>
            </w:r>
          </w:p>
          <w:p w14:paraId="7DAB7632" w14:textId="77777777" w:rsidR="001D7EBD" w:rsidRPr="000F4E41" w:rsidRDefault="001D7EBD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AA4E8C6" w14:textId="67CFEDCA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Ostateczne </w:t>
            </w:r>
            <w:r w:rsidR="001D7EBD" w:rsidRPr="000F4E41">
              <w:rPr>
                <w:rFonts w:ascii="Times New Roman" w:hAnsi="Times New Roman"/>
              </w:rPr>
              <w:t xml:space="preserve">rozstrzygnięcie kwestii zasadności dodania tych przepisów do projektowanej ustawy uzależnione jest od </w:t>
            </w:r>
            <w:r w:rsidRPr="000F4E41">
              <w:rPr>
                <w:rFonts w:ascii="Times New Roman" w:hAnsi="Times New Roman"/>
              </w:rPr>
              <w:t>opinii RCL.</w:t>
            </w:r>
          </w:p>
          <w:p w14:paraId="4D7EA52F" w14:textId="18BABB58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C63" w:rsidRPr="000F4E41" w14:paraId="35476272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59489AC1" w14:textId="0B821B79" w:rsidR="00A66C63" w:rsidRPr="000F4E41" w:rsidRDefault="00E268C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1018B">
              <w:rPr>
                <w:rFonts w:ascii="Times New Roman" w:hAnsi="Times New Roman"/>
              </w:rPr>
              <w:t>1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5165CE0E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499ED729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10 ust. 2 projektu</w:t>
            </w:r>
          </w:p>
          <w:p w14:paraId="6DB12532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FECDF2F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7D3AD6D4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 xml:space="preserve">Niejasne jest </w:t>
            </w:r>
            <w:r w:rsidRPr="000F4E41">
              <w:rPr>
                <w:rFonts w:ascii="Times New Roman" w:hAnsi="Times New Roman"/>
                <w:i/>
              </w:rPr>
              <w:t xml:space="preserve">rato legis </w:t>
            </w:r>
            <w:r w:rsidRPr="000F4E41">
              <w:rPr>
                <w:rFonts w:ascii="Times New Roman" w:hAnsi="Times New Roman"/>
              </w:rPr>
              <w:t>przepisu art. 10 ust. 2 projektu, który stanowi</w:t>
            </w:r>
            <w:r w:rsidRPr="000F4E41">
              <w:rPr>
                <w:rFonts w:ascii="Times New Roman" w:eastAsiaTheme="minorHAnsi" w:hAnsi="Times New Roman"/>
              </w:rPr>
              <w:t xml:space="preserve"> o odpowiednim stosowaniu przepisu art. 20e ust. 1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pkt 1 ustawy zmienianej w art. 5 projektu (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ustawa z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dnia 20 sierpnia 1997 r. o Krajowym Rejestrze Sądowym</w:t>
            </w:r>
            <w:r w:rsidRPr="000F4E41">
              <w:rPr>
                <w:rFonts w:ascii="Times New Roman" w:eastAsiaTheme="minorHAnsi" w:hAnsi="Times New Roman"/>
              </w:rPr>
              <w:t xml:space="preserve">). Przepis art. 10 ust. 2 projektu stanowi bowiem, że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W przypadku podmiotów wykonujących przed dniem 1 sierpnia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2020 r. działalność gospodarczą oznaczoną kodem PKD 93.29.Z, i które do dnia 31</w:t>
            </w:r>
            <w:r w:rsidRPr="000F4E41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grudnia 2025 r. nie dokonały zmian we wpisie w Centralnej Ewidencji i Informacji o Działalności Gospodarczej, Krajowym Rejestrze Sądowym lub krajowym rejestrze urzędowym podmiotów gospodarki narodowej, kod PKD 93.29.Z zostaje z dniem 1 stycznia 2026 r. zastąpiony automatycznie w tych rejestrach kodem PKD 93.29.B.</w:t>
            </w:r>
          </w:p>
          <w:p w14:paraId="55506B2A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Natomiast </w:t>
            </w:r>
            <w:r w:rsidRPr="000F4E41">
              <w:rPr>
                <w:rFonts w:ascii="Times New Roman" w:hAnsi="Times New Roman"/>
              </w:rPr>
              <w:t xml:space="preserve">art. 20e ust. 1 pkt 1 ustawy zmienianej w art. 5 projektu </w:t>
            </w:r>
            <w:r w:rsidRPr="000F4E41">
              <w:rPr>
                <w:rFonts w:ascii="Times New Roman" w:eastAsiaTheme="minorHAnsi" w:hAnsi="Times New Roman"/>
              </w:rPr>
              <w:t>(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ustawa z dnia 20 sierpnia 1997 r. o Krajowym Rejestrze Sądowym</w:t>
            </w:r>
            <w:r w:rsidRPr="000F4E41">
              <w:rPr>
                <w:rFonts w:ascii="Times New Roman" w:eastAsiaTheme="minorHAnsi" w:hAnsi="Times New Roman"/>
              </w:rPr>
              <w:t>), do stosowania którego odsyła art.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10 ust. 2 projektu stanowi o aktualizowaniu danych przez automatyczne dokonanie wpisu polegającego na wykreśleniu wpisu z tego Rejestru, a nie o zastąpieniu wpisu, o którym stanowi art. 10 ust. 1 projektu. W związku z tym omawiana regulacja budzi wątpliwości i wymaga ponownej analizy i dopracowania.</w:t>
            </w:r>
          </w:p>
        </w:tc>
        <w:tc>
          <w:tcPr>
            <w:tcW w:w="5103" w:type="dxa"/>
          </w:tcPr>
          <w:p w14:paraId="6FA66C70" w14:textId="55B71DD3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5E9AF78D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7A3A9A89" w14:textId="71E82590" w:rsidR="00A66C63" w:rsidRPr="000F4E41" w:rsidRDefault="000172C5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Art. 13 projektu ustawy (według nowej numeracji) nie zawiera ust. 2 (przepis ten został skreślony)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</w:tr>
      <w:tr w:rsidR="00A66C63" w:rsidRPr="000F4E41" w14:paraId="0ECBAC23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E987FD1" w14:textId="437579F9" w:rsidR="00A66C63" w:rsidRPr="000F4E41" w:rsidRDefault="00E268C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C1018B">
              <w:rPr>
                <w:rFonts w:ascii="Times New Roman" w:hAnsi="Times New Roman"/>
              </w:rPr>
              <w:t>2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0B6C2495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MC</w:t>
            </w:r>
          </w:p>
        </w:tc>
        <w:tc>
          <w:tcPr>
            <w:tcW w:w="2410" w:type="dxa"/>
            <w:shd w:val="clear" w:color="auto" w:fill="auto"/>
          </w:tcPr>
          <w:p w14:paraId="4EC42FAF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18 pkt 1 lit. d projektu</w:t>
            </w:r>
          </w:p>
        </w:tc>
        <w:tc>
          <w:tcPr>
            <w:tcW w:w="5670" w:type="dxa"/>
            <w:shd w:val="clear" w:color="auto" w:fill="auto"/>
          </w:tcPr>
          <w:p w14:paraId="5766385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Proponuje się modyfikację projektowanego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vacatio legis </w:t>
            </w:r>
            <w:r w:rsidRPr="000F4E41">
              <w:rPr>
                <w:rFonts w:ascii="Times New Roman" w:eastAsiaTheme="minorHAnsi" w:hAnsi="Times New Roman"/>
              </w:rPr>
              <w:t>dla wejścia w życie dodawanego art. 47a ustawy o statystyce publicznej (art. 1 pkt 19 projektowanej ustawy) polegającą na wydłużeniu vacatio legis z 12 do 18 miesięcy od dnia ogłoszenia ustawy. Okresem minimalnym, w jakim możliwe jest dostosowanie się do zmian wynikających z projektu ustawy jest 18 miesięcy od dnia ogłoszenia ustawy.</w:t>
            </w:r>
          </w:p>
          <w:p w14:paraId="078B8346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System Rejestrów Państwowych, w których prowadzone są takie rejestry jak PESEL, Rejestr Dowodów Osobistych, Rejestr Dokumentów Paszportowych, Centralny Rejestr Wyborców już obecnie prowadzony jest z wykorzystaniem kodów TERYT. Wykorzystanie kodów TERYT jest krytyczną funkcjonalnością SRP wykorzystywaną nie tylko w identyfikacji adresów ale także w module autoryzacji i uprawnień nadawanych użytkownikom aplikacji obsługującej SRP a także przy określaniu właściwości użytkowników do rejestracji określonych danych czy destynacji punktów, do których dostarczane są wyprodukowane dokumenty tożsamości. Kody TERYT wykorzystywane są także w e-</w:t>
            </w:r>
            <w:r w:rsidRPr="000F4E41">
              <w:rPr>
                <w:rFonts w:ascii="Times New Roman" w:eastAsiaTheme="minorHAnsi" w:hAnsi="Times New Roman"/>
              </w:rPr>
              <w:lastRenderedPageBreak/>
              <w:t>usługach bazujących na SRP. Wstępna analiza wykazała, że proponowane zmiany polegające na zniesieniu delegatur w Poznaniu, Wrocławiu, Krakowie oraz Łodzi wymagają gruntownej analizy wszystkich procesów. W związku z tym w ocenie termin vacatio legis powinien zostać wydłużony.</w:t>
            </w:r>
          </w:p>
        </w:tc>
        <w:tc>
          <w:tcPr>
            <w:tcW w:w="5103" w:type="dxa"/>
          </w:tcPr>
          <w:p w14:paraId="6A2F7559" w14:textId="1458381C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 xml:space="preserve">Uwaga uwzględniona </w:t>
            </w:r>
          </w:p>
          <w:p w14:paraId="348CCC36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14:paraId="39B5CF98" w14:textId="021C7CE0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Termin wejścia w życie przepisu art. 47a zostanie wydłużony do 18 miesięcy od dnia ogłoszenia ustawy</w:t>
            </w:r>
            <w:r w:rsidR="00BB0AEB" w:rsidRPr="000F4E41">
              <w:rPr>
                <w:rFonts w:ascii="Times New Roman" w:hAnsi="Times New Roman"/>
              </w:rPr>
              <w:t xml:space="preserve"> (art. 2</w:t>
            </w:r>
            <w:r w:rsidR="00D72ECE" w:rsidRPr="000F4E41">
              <w:rPr>
                <w:rFonts w:ascii="Times New Roman" w:hAnsi="Times New Roman"/>
              </w:rPr>
              <w:t>1</w:t>
            </w:r>
            <w:r w:rsidR="00BB0AEB" w:rsidRPr="000F4E41">
              <w:rPr>
                <w:rFonts w:ascii="Times New Roman" w:hAnsi="Times New Roman"/>
              </w:rPr>
              <w:t xml:space="preserve"> projektu ustawy)</w:t>
            </w:r>
            <w:r w:rsidRPr="000F4E41">
              <w:rPr>
                <w:rFonts w:ascii="Times New Roman" w:hAnsi="Times New Roman"/>
              </w:rPr>
              <w:t xml:space="preserve">. Ze względu na hierarchiczność budowy rejestru TERYT i ścisłe powiązania pomiędzy poszczególnymi systemami wchodzącymi w jego skład, dla zapewnienia spójności przepisów ustawowych i wykonawczych oraz prawidłowego funkcjonowania systemów, termin wejścia w życie przepisów dotyczących rejestru TERYT, dla których </w:t>
            </w:r>
            <w:r w:rsidR="00BB0AEB" w:rsidRPr="000F4E41">
              <w:rPr>
                <w:rFonts w:ascii="Times New Roman" w:hAnsi="Times New Roman"/>
              </w:rPr>
              <w:t>pierwotnie zakładano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BB0AEB" w:rsidRPr="000F4E41">
              <w:rPr>
                <w:rFonts w:ascii="Times New Roman" w:hAnsi="Times New Roman"/>
              </w:rPr>
              <w:t xml:space="preserve">12-miesięczne </w:t>
            </w:r>
            <w:r w:rsidR="00BB0AEB" w:rsidRPr="000F4E41">
              <w:rPr>
                <w:rFonts w:ascii="Times New Roman" w:hAnsi="Times New Roman"/>
                <w:i/>
              </w:rPr>
              <w:t>vacatio legis</w:t>
            </w:r>
            <w:r w:rsidR="002459F9" w:rsidRPr="000F4E41">
              <w:rPr>
                <w:rFonts w:ascii="Times New Roman" w:hAnsi="Times New Roman"/>
              </w:rPr>
              <w:t>,</w:t>
            </w:r>
            <w:r w:rsidRPr="000F4E41">
              <w:rPr>
                <w:rFonts w:ascii="Times New Roman" w:hAnsi="Times New Roman"/>
              </w:rPr>
              <w:t xml:space="preserve"> również powinien zostać wydłużony do 18 miesięcy.</w:t>
            </w:r>
          </w:p>
          <w:p w14:paraId="0E37D3F9" w14:textId="7C4E6061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6C63" w:rsidRPr="000F4E41" w14:paraId="0B8AD41E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3697626E" w14:textId="66A89D95" w:rsidR="00A66C63" w:rsidRPr="000F4E41" w:rsidRDefault="00E268C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1018B">
              <w:rPr>
                <w:rFonts w:ascii="Times New Roman" w:hAnsi="Times New Roman"/>
              </w:rPr>
              <w:t>3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8A7D3C6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09744D84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Art. 18 projektu</w:t>
            </w:r>
          </w:p>
          <w:p w14:paraId="4DCE7AB9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0546E6C6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Wnioskuję o dokonanie zmiany w art. 18 projektu ustawy tak, aby przepis art. 1 ust.10 lit. g w części dotyczącej art. 42 ust. 8b pkt 2 wszedł w życie po upływie 12 miesięcy od dnia ogłoszenia –</w:t>
            </w:r>
            <w:r w:rsidRPr="000F4E41">
              <w:rPr>
                <w:rFonts w:ascii="Times New Roman" w:eastAsiaTheme="minorHAnsi" w:hAnsi="Times New Roman"/>
              </w:rPr>
              <w:t xml:space="preserve"> zaproponowany obecnie termin („ustawa wchodzi w życie po upływie 14 dni od dnia ogłoszenia”) nie jest wystarczający na uruchomienie usługi w Centralnym Rejestrze Podmiotów – Krajowej Ewidencji Podatników w celu uzupełnienia lub potwierdzenia informacji o numerze identyfikacji podatkowej (NIP) oraz informacji o jego unieważnieniu lub uchyleniu.</w:t>
            </w:r>
          </w:p>
        </w:tc>
        <w:tc>
          <w:tcPr>
            <w:tcW w:w="5103" w:type="dxa"/>
          </w:tcPr>
          <w:p w14:paraId="0C0FEC0F" w14:textId="6AB1A3F1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59DFC2C8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5507AFB" w14:textId="464B4D46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6C63" w:rsidRPr="000F4E41" w14:paraId="6FD2A0D7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7F829B6" w14:textId="6B355FC5" w:rsidR="00A66C63" w:rsidRPr="000F4E41" w:rsidRDefault="00E268C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1018B">
              <w:rPr>
                <w:rFonts w:ascii="Times New Roman" w:hAnsi="Times New Roman"/>
              </w:rPr>
              <w:t>4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6650867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</w:tc>
        <w:tc>
          <w:tcPr>
            <w:tcW w:w="2410" w:type="dxa"/>
            <w:shd w:val="clear" w:color="auto" w:fill="auto"/>
          </w:tcPr>
          <w:p w14:paraId="5D0036BA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18 projektu</w:t>
            </w:r>
          </w:p>
        </w:tc>
        <w:tc>
          <w:tcPr>
            <w:tcW w:w="5670" w:type="dxa"/>
            <w:shd w:val="clear" w:color="auto" w:fill="auto"/>
          </w:tcPr>
          <w:p w14:paraId="6C405935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Wątpliwości wzbudzają różne daty wejścia w życie przepisów art. 1 pkt 21 projektu (dodawany art. 48a do nowelizowanej ustawy o statystyce publicznej) oraz art. 11 projektu. Przepis art. 1 pkt 21, zgodnie z art. 18 projektu ustawy, wchodzi w życie po upływie 12 miesięcy od dnia ogłoszenia. Z kolei przepis art. 11, który wyznacza organom prowadzącym rejestry urzędowe i systemy informacyjne administracji publicznej, nie spełniające w dniu wejścia w życie ustawy wymagań określonych w art. 48a, </w:t>
            </w:r>
            <w:r w:rsidRPr="000F4E41">
              <w:rPr>
                <w:rFonts w:ascii="Times New Roman" w:eastAsiaTheme="minorHAnsi" w:hAnsi="Times New Roman"/>
                <w:b/>
              </w:rPr>
              <w:t xml:space="preserve">termin 2 lat od dnia wejścia w życie ustawy na dostosowanie rejestrów urzędowych i systemów informacyjnych – wchodzi w życie po upływie 14 dni od ogłoszenia ustawy. </w:t>
            </w:r>
            <w:r w:rsidRPr="000F4E41">
              <w:rPr>
                <w:rFonts w:ascii="Times New Roman" w:eastAsiaTheme="minorHAnsi" w:hAnsi="Times New Roman"/>
              </w:rPr>
              <w:t>Może to powodować trudności interpretacyjne w określaniu, od jakiej daty liczyć termin na dostosowanie rejestrów i systemów, a także, jakie przepisy stosować w przypadku wcześniejszego dostosowania systemów. Kwestia ta wymaga wyjaśnienia przez projektodawcę.</w:t>
            </w:r>
          </w:p>
        </w:tc>
        <w:tc>
          <w:tcPr>
            <w:tcW w:w="5103" w:type="dxa"/>
          </w:tcPr>
          <w:p w14:paraId="02F4D0D7" w14:textId="0AF006BB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287FEC85" w14:textId="7868DFB6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Określone w projekcie ustawy vacatio legis dla przepisów art. 1 pkt </w:t>
            </w:r>
            <w:r w:rsidR="002459F9" w:rsidRPr="000F4E41">
              <w:rPr>
                <w:rFonts w:ascii="Times New Roman" w:hAnsi="Times New Roman"/>
              </w:rPr>
              <w:t>22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8F04A8" w:rsidRPr="000F4E41">
              <w:rPr>
                <w:rFonts w:ascii="Times New Roman" w:hAnsi="Times New Roman"/>
              </w:rPr>
              <w:t xml:space="preserve">(wg nowej numeracji) </w:t>
            </w:r>
            <w:r w:rsidRPr="000F4E41">
              <w:rPr>
                <w:rFonts w:ascii="Times New Roman" w:hAnsi="Times New Roman"/>
              </w:rPr>
              <w:t xml:space="preserve">projektu ustawy wynika z konieczności zapewnienia spójności przepisów projektowanej ustawy z dotychczas obowiązującymi przepisami rozporządzenia wykonawczego, które zostaną zmienione na podstawie delegacji z art. 49. </w:t>
            </w:r>
          </w:p>
          <w:p w14:paraId="4EA16A74" w14:textId="77777777" w:rsidR="00A66C63" w:rsidRPr="000F4E41" w:rsidRDefault="00A66C63" w:rsidP="007214C3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Proponowany art. 48a (dodawany projektowaną ustawą) stanowi w zasadniczej części powtórzenie aktualnie obowiązujących przepisów ujętych w art. 47 ust. 3 ustawy o statystyce publicznej (przepis ten zostaje uchylony) oraz § 16 i § 17 rozporządzenia w sprawie rejestru TERYT. Dla zachowania spójności regulacji dotyczących rejestru TERYT, ujętych w przepisach ustawy i rozporządzeniu wykonawczym, przepis art. 48a powinien wejść w życie w terminie analogicznym jak większość przepisów dotyczących tego rejestru.</w:t>
            </w:r>
          </w:p>
          <w:p w14:paraId="217DD090" w14:textId="7D3427DC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związku z uwagą zgłoszoną przez Ministra Cyfryzacji (</w:t>
            </w:r>
            <w:r w:rsidR="007A4264" w:rsidRPr="000F4E41">
              <w:rPr>
                <w:rFonts w:ascii="Times New Roman" w:hAnsi="Times New Roman"/>
              </w:rPr>
              <w:t>lp</w:t>
            </w:r>
            <w:r w:rsidRPr="000F4E41">
              <w:rPr>
                <w:rFonts w:ascii="Times New Roman" w:hAnsi="Times New Roman"/>
              </w:rPr>
              <w:t xml:space="preserve">. </w:t>
            </w:r>
            <w:r w:rsidR="000A4B62">
              <w:rPr>
                <w:rFonts w:ascii="Times New Roman" w:hAnsi="Times New Roman"/>
              </w:rPr>
              <w:t>3</w:t>
            </w:r>
            <w:r w:rsidR="00282EA6">
              <w:rPr>
                <w:rFonts w:ascii="Times New Roman" w:hAnsi="Times New Roman"/>
              </w:rPr>
              <w:t>2</w:t>
            </w:r>
            <w:r w:rsidRPr="000F4E41">
              <w:rPr>
                <w:rFonts w:ascii="Times New Roman" w:hAnsi="Times New Roman"/>
              </w:rPr>
              <w:t>), okres przejściowy dla ww. przepisów zostanie wydłużony z 12 do 18 miesięcy od dnia ogłoszenia ustawy.</w:t>
            </w:r>
          </w:p>
          <w:p w14:paraId="04A922AE" w14:textId="01580104" w:rsidR="00522903" w:rsidRPr="005F423A" w:rsidRDefault="00522903" w:rsidP="0052290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 xml:space="preserve">Jednocześnie w wyniku planowanych zmian w art. 48a, w związku z uwagą zgłoszoną przez MS (odniesienie do uwagi w lp. </w:t>
            </w:r>
            <w:r w:rsidR="00282EA6">
              <w:rPr>
                <w:rFonts w:ascii="Times New Roman" w:hAnsi="Times New Roman"/>
              </w:rPr>
              <w:t>26</w:t>
            </w:r>
            <w:r w:rsidRPr="000F4E41">
              <w:rPr>
                <w:rFonts w:ascii="Times New Roman" w:hAnsi="Times New Roman"/>
              </w:rPr>
              <w:t>), konieczne jest zapewnienie dodatkowego czasu na modyfikację systemów do prowadzenia i udostępniania danych z rejestru TERYT. Prace modernizacyjne po stronie rejestru TERYT zostały przewidziane do realizacji w terminie 2 lat od dnia ogłoszenia ustawy, tj. po upływie 6 miesięcy od dnia wejścia w życie zmian dotyczących ustalenia nowego katalogu systemów wchodzących w skład rejestru TERYT (art. 14 ust. 1) i nie spowodują zmniejszenia wymiaru czasu przewidzianego na konieczne dostosowania po stronie innych systemów i rejestrów.</w:t>
            </w:r>
            <w:r w:rsidRPr="005F423A">
              <w:rPr>
                <w:rFonts w:ascii="Times New Roman" w:hAnsi="Times New Roman"/>
              </w:rPr>
              <w:t xml:space="preserve"> </w:t>
            </w:r>
          </w:p>
          <w:p w14:paraId="704C9AD4" w14:textId="368C3929" w:rsidR="00A66C63" w:rsidRPr="000F4E41" w:rsidRDefault="0052290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Należy zauważyć, że</w:t>
            </w:r>
            <w:r w:rsidR="00A90C3E" w:rsidRPr="000F4E41">
              <w:rPr>
                <w:rFonts w:ascii="Times New Roman" w:hAnsi="Times New Roman"/>
              </w:rPr>
              <w:t xml:space="preserve"> t</w:t>
            </w:r>
            <w:r w:rsidR="00BE0F3C" w:rsidRPr="000F4E41">
              <w:rPr>
                <w:rFonts w:ascii="Times New Roman" w:hAnsi="Times New Roman"/>
              </w:rPr>
              <w:t xml:space="preserve">ermin określony dla wejścia w życie przepisów z art. 1 pkt. 22 jest niezależny od terminu ujętego w art. 14 ust. 2 projektu ustawy (według nowej numeracji). Po zmianach, termin wskazany w art. 14 ust. 2 został ustalony na </w:t>
            </w:r>
            <w:r w:rsidR="00A90C3E" w:rsidRPr="000F4E41">
              <w:rPr>
                <w:rFonts w:ascii="Times New Roman" w:hAnsi="Times New Roman"/>
              </w:rPr>
              <w:t>4</w:t>
            </w:r>
            <w:r w:rsidR="00BE0F3C" w:rsidRPr="000F4E41">
              <w:rPr>
                <w:rFonts w:ascii="Times New Roman" w:hAnsi="Times New Roman"/>
              </w:rPr>
              <w:t xml:space="preserve"> lata od dnia </w:t>
            </w:r>
            <w:r w:rsidR="00A90C3E" w:rsidRPr="000F4E41">
              <w:rPr>
                <w:rFonts w:ascii="Times New Roman" w:hAnsi="Times New Roman"/>
              </w:rPr>
              <w:t xml:space="preserve">ogłoszenia </w:t>
            </w:r>
            <w:r w:rsidR="00BE0F3C" w:rsidRPr="000F4E41">
              <w:rPr>
                <w:rFonts w:ascii="Times New Roman" w:hAnsi="Times New Roman"/>
              </w:rPr>
              <w:t xml:space="preserve">ustawy, </w:t>
            </w:r>
            <w:r w:rsidR="00A90C3E" w:rsidRPr="000F4E41">
              <w:rPr>
                <w:rFonts w:ascii="Times New Roman" w:hAnsi="Times New Roman"/>
              </w:rPr>
              <w:t xml:space="preserve">tj. 2 lata </w:t>
            </w:r>
            <w:r w:rsidR="00BE0F3C" w:rsidRPr="000F4E41">
              <w:rPr>
                <w:rFonts w:ascii="Times New Roman" w:hAnsi="Times New Roman"/>
              </w:rPr>
              <w:t>od dnia wejścia w życie przepisów nakładających obowiązki wskazane w art. 1 pkt 22.</w:t>
            </w:r>
          </w:p>
          <w:p w14:paraId="0DC93548" w14:textId="4DABBF6C" w:rsidR="00F36796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Odnosząc się do kwestii stosowania przepisów w przypadku wcześniejszego dostosowania systemów, należy zauważyć, że </w:t>
            </w:r>
            <w:r w:rsidR="00F36796" w:rsidRPr="000F4E41">
              <w:rPr>
                <w:rFonts w:ascii="Times New Roman" w:hAnsi="Times New Roman"/>
              </w:rPr>
              <w:t xml:space="preserve">w nowej propozycji brzmienia przepisów art. 1 pkt. 22 i art. 14 ust. 2 projektowanej ustawy, kiedy </w:t>
            </w:r>
            <w:r w:rsidR="00A90C3E" w:rsidRPr="000F4E41">
              <w:rPr>
                <w:rFonts w:ascii="Times New Roman" w:hAnsi="Times New Roman"/>
              </w:rPr>
              <w:t>termin wejścia w życie tych przepisów w obydwu przypadkach został uzależniony od terminu ogłoszenia ustawy</w:t>
            </w:r>
            <w:r w:rsidR="00F36796" w:rsidRPr="000F4E41">
              <w:rPr>
                <w:rFonts w:ascii="Times New Roman" w:hAnsi="Times New Roman"/>
              </w:rPr>
              <w:t xml:space="preserve">, </w:t>
            </w:r>
            <w:r w:rsidR="004C218F">
              <w:rPr>
                <w:rFonts w:ascii="Times New Roman" w:hAnsi="Times New Roman"/>
              </w:rPr>
              <w:t xml:space="preserve">nie przewiduje się w tym zakresie </w:t>
            </w:r>
            <w:r w:rsidR="002E6010">
              <w:rPr>
                <w:rFonts w:ascii="Times New Roman" w:hAnsi="Times New Roman"/>
              </w:rPr>
              <w:t>problem</w:t>
            </w:r>
            <w:r w:rsidR="004C218F">
              <w:rPr>
                <w:rFonts w:ascii="Times New Roman" w:hAnsi="Times New Roman"/>
              </w:rPr>
              <w:t>ów</w:t>
            </w:r>
            <w:r w:rsidR="002E6010">
              <w:rPr>
                <w:rFonts w:ascii="Times New Roman" w:hAnsi="Times New Roman"/>
              </w:rPr>
              <w:t xml:space="preserve"> interpretacyjn</w:t>
            </w:r>
            <w:r w:rsidR="004C218F">
              <w:rPr>
                <w:rFonts w:ascii="Times New Roman" w:hAnsi="Times New Roman"/>
              </w:rPr>
              <w:t>ych</w:t>
            </w:r>
            <w:r w:rsidR="00F36796" w:rsidRPr="000F4E41">
              <w:rPr>
                <w:rFonts w:ascii="Times New Roman" w:hAnsi="Times New Roman"/>
              </w:rPr>
              <w:t xml:space="preserve">. </w:t>
            </w:r>
          </w:p>
          <w:p w14:paraId="7BAB25B6" w14:textId="5377B3CB" w:rsidR="00A66C63" w:rsidRPr="000F4E41" w:rsidRDefault="00F36796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Niemniej jednak, </w:t>
            </w:r>
            <w:r w:rsidR="00A66C63" w:rsidRPr="000F4E41">
              <w:rPr>
                <w:rFonts w:ascii="Times New Roman" w:hAnsi="Times New Roman"/>
              </w:rPr>
              <w:t>jeśli dostosowanie nastąpi przed upływem 18 miesięcy (dotychczas 12 miesięcy) od dnia ogłoszenia ustawy, zastosowanie będą miały przepisy art. 47 ust. 3 aktualnie obowiązującej ustawy o statystyce publicznej oraz § 16 i § 17 obecnego rozporządzenia w sprawie rejestru TERYT. Natomiast po wejściu w życie projektowanych przepisów, zastosowanie będą miały te przepisy (projektowany art. 48a</w:t>
            </w:r>
            <w:r w:rsidR="002459F9" w:rsidRPr="000F4E41">
              <w:rPr>
                <w:rFonts w:ascii="Times New Roman" w:hAnsi="Times New Roman"/>
              </w:rPr>
              <w:t xml:space="preserve"> ustawy o statystyce publicznej</w:t>
            </w:r>
            <w:r w:rsidR="00A66C63" w:rsidRPr="000F4E41">
              <w:rPr>
                <w:rFonts w:ascii="Times New Roman" w:hAnsi="Times New Roman"/>
              </w:rPr>
              <w:t>).</w:t>
            </w:r>
          </w:p>
        </w:tc>
      </w:tr>
      <w:tr w:rsidR="00A66C63" w:rsidRPr="000F4E41" w14:paraId="376CA3B5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7E713D55" w14:textId="3AEFE725" w:rsidR="00A66C63" w:rsidRPr="000F4E41" w:rsidRDefault="00E268C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C1018B">
              <w:rPr>
                <w:rFonts w:ascii="Times New Roman" w:hAnsi="Times New Roman"/>
              </w:rPr>
              <w:t>5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594ACF01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25F42D36" w14:textId="77777777" w:rsidR="00A66C63" w:rsidRPr="000F4E41" w:rsidRDefault="00A66C63" w:rsidP="007214C3">
            <w:pPr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 xml:space="preserve">Propozycja rozszerzenia zakresu regulacji </w:t>
            </w:r>
          </w:p>
        </w:tc>
        <w:tc>
          <w:tcPr>
            <w:tcW w:w="5670" w:type="dxa"/>
            <w:shd w:val="clear" w:color="auto" w:fill="auto"/>
          </w:tcPr>
          <w:p w14:paraId="23772DE9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Proponuję, aby projektodawca rozważył wprowadzenie do niniejszego projektu ustawy przepisów doprecyzowujących kwestię wydawania interpretacji, o których mowa w art. 25 ust. 1 pkt 6 i ust. 2 ustawy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o statystyce publicznej </w:t>
            </w:r>
            <w:r w:rsidRPr="000F4E41">
              <w:rPr>
                <w:rFonts w:ascii="Times New Roman" w:eastAsiaTheme="minorHAnsi" w:hAnsi="Times New Roman"/>
              </w:rPr>
              <w:t xml:space="preserve">(tzw. Interpretacje </w:t>
            </w:r>
          </w:p>
          <w:p w14:paraId="2E290D73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klasyfikacyjne). Zwłaszcza wskazane byłoby określenie w ustawie terminu, w jakim organ statystyczny zobligowany byłby do udzielenia interpretacji klasyfikacyjnej. Aktualnie obowiązujące przepisy ustawy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o statystyce publicznej </w:t>
            </w:r>
            <w:r w:rsidRPr="000F4E41">
              <w:rPr>
                <w:rFonts w:ascii="Times New Roman" w:eastAsiaTheme="minorHAnsi" w:hAnsi="Times New Roman"/>
              </w:rPr>
              <w:t>nie przewidują bowiem żadnych szczegółowych rozwiązań w tym zakresie.</w:t>
            </w:r>
          </w:p>
          <w:p w14:paraId="77F5CB64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Jednocześnie proszę o rozważenie wprowadzenia do ustawy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o statystyce publicznej </w:t>
            </w:r>
            <w:r w:rsidRPr="000F4E41">
              <w:rPr>
                <w:rFonts w:ascii="Times New Roman" w:eastAsiaTheme="minorHAnsi" w:hAnsi="Times New Roman"/>
              </w:rPr>
              <w:t xml:space="preserve">regulacji, z której wynikać będzie, że do dokonywania wykładni przepisów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o statystyce publicznej </w:t>
            </w:r>
            <w:r w:rsidRPr="000F4E41">
              <w:rPr>
                <w:rFonts w:ascii="Times New Roman" w:eastAsiaTheme="minorHAnsi" w:hAnsi="Times New Roman"/>
              </w:rPr>
              <w:t>na potrzeby opodatkowania podatkiem od towarów i usług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 xml:space="preserve">uprawniony jest wyłącznie organ właściwy w sprawach wydania, zmiany albo uchylenia wiążącej informacji stawkowej, o której mowa w przepisach ustawy z dnia 11 marca 2004 r.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o podatku od towarów i usług3</w:t>
            </w:r>
            <w:r w:rsidRPr="000F4E41">
              <w:rPr>
                <w:rFonts w:ascii="Times New Roman" w:eastAsiaTheme="minorHAnsi" w:hAnsi="Times New Roman"/>
              </w:rPr>
              <w:t>. Powyższe oznaczać będzie, że kompetencje organu statystycznego oraz organu podatkowego zostaną w tym zakresie jednoznacznie rozdzielone.</w:t>
            </w:r>
          </w:p>
        </w:tc>
        <w:tc>
          <w:tcPr>
            <w:tcW w:w="5103" w:type="dxa"/>
          </w:tcPr>
          <w:p w14:paraId="74303649" w14:textId="0C75C30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nieuwzględniona</w:t>
            </w:r>
          </w:p>
          <w:p w14:paraId="1CC7AD80" w14:textId="77777777" w:rsidR="00EE40F6" w:rsidRPr="000F4E41" w:rsidRDefault="00EE40F6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06A55B18" w14:textId="2E3DA63B" w:rsidR="00A66C63" w:rsidRPr="000F4E41" w:rsidRDefault="00EE40F6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Ż</w:t>
            </w:r>
            <w:r w:rsidR="00A66C63" w:rsidRPr="000F4E41">
              <w:rPr>
                <w:rFonts w:ascii="Times New Roman" w:hAnsi="Times New Roman"/>
              </w:rPr>
              <w:t xml:space="preserve">aden akt prawny nie reguluje terminu załatwiania przez GUS tego typu spraw, bowiem </w:t>
            </w:r>
            <w:r w:rsidR="00A66C63" w:rsidRPr="000F4E41">
              <w:rPr>
                <w:rFonts w:ascii="Times New Roman" w:hAnsi="Times New Roman"/>
                <w:u w:val="single"/>
              </w:rPr>
              <w:t>nie stosuje się do nich ogólnych zasad z KPA.</w:t>
            </w:r>
          </w:p>
          <w:p w14:paraId="10A44BC3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W związku z powyższym odesłanie do innych aktów prawnych w treści ustawy o statystyce publicznej nie będzie prawidłowe i skuteczne.</w:t>
            </w:r>
          </w:p>
          <w:p w14:paraId="09FB397B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Projektodawca nie zakłada wprowadzania tych terminów do ustawy o statystyce publicznej.</w:t>
            </w:r>
          </w:p>
          <w:p w14:paraId="0DC23B96" w14:textId="77777777" w:rsidR="004C218F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odniesieniu do kwestii kompetencji organu statystycznego i organu podatkowego wyjaśniamy, że aktualnie obowiązujące przepisy w sposób wystarczający rozdzielają kompetencje organu podatkowego oraz statystycznego. W związku z tym niezasadne wydaje się dodatkowe uregulowanie tej kwestii w ustawie o statystyce publicznej. </w:t>
            </w:r>
          </w:p>
          <w:p w14:paraId="24B1EC34" w14:textId="50566334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</w:rPr>
              <w:t xml:space="preserve">Natomiast zasadne byłoby wprowadzenie podobnych rozwiązań </w:t>
            </w:r>
            <w:r w:rsidR="004C218F">
              <w:rPr>
                <w:rFonts w:ascii="Times New Roman" w:hAnsi="Times New Roman"/>
              </w:rPr>
              <w:t>w</w:t>
            </w:r>
            <w:r w:rsidRPr="000F4E41">
              <w:rPr>
                <w:rFonts w:ascii="Times New Roman" w:hAnsi="Times New Roman"/>
              </w:rPr>
              <w:t xml:space="preserve"> regulacj</w:t>
            </w:r>
            <w:r w:rsidR="004C218F">
              <w:rPr>
                <w:rFonts w:ascii="Times New Roman" w:hAnsi="Times New Roman"/>
              </w:rPr>
              <w:t>ach dotyczących</w:t>
            </w:r>
            <w:r w:rsidRPr="000F4E41">
              <w:rPr>
                <w:rFonts w:ascii="Times New Roman" w:hAnsi="Times New Roman"/>
              </w:rPr>
              <w:t xml:space="preserve"> podatku dochodowego.</w:t>
            </w:r>
          </w:p>
          <w:p w14:paraId="2B88BAA2" w14:textId="222A64F1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C63" w:rsidRPr="000F4E41" w14:paraId="41CCC009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5DD11BD6" w14:textId="6A271AC1" w:rsidR="00A66C63" w:rsidRPr="000F4E41" w:rsidRDefault="00E268C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1018B">
              <w:rPr>
                <w:rFonts w:ascii="Times New Roman" w:hAnsi="Times New Roman"/>
              </w:rPr>
              <w:t>6</w:t>
            </w:r>
            <w:r w:rsidR="00B66DBB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A25CCB7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572B5881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Uzasadnienie – część V</w:t>
            </w:r>
          </w:p>
        </w:tc>
        <w:tc>
          <w:tcPr>
            <w:tcW w:w="5670" w:type="dxa"/>
            <w:shd w:val="clear" w:color="auto" w:fill="auto"/>
          </w:tcPr>
          <w:p w14:paraId="34EF266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Aby ułatwić podmiotom poruszanie się po uzasadnieniu projektu, proszę rozważyć dodanie pomiędzy pkt 2 a pkt 3 (pomiędzy omówieniem zmian zawartych w art. 1 pkt 6 i art. 1 pkt 9 ) krótkiej informacji, że zmiany przewidziane w art. 1 pkt 7 i 8 (art. 40 i 40a zmienianej ustawy) zostały opisane szczegółowo w części VII Uzasadnienia projektu.</w:t>
            </w:r>
          </w:p>
        </w:tc>
        <w:tc>
          <w:tcPr>
            <w:tcW w:w="5103" w:type="dxa"/>
          </w:tcPr>
          <w:p w14:paraId="7E405C4D" w14:textId="11C4EC02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uwzględniona </w:t>
            </w:r>
          </w:p>
          <w:p w14:paraId="387BC380" w14:textId="77777777" w:rsidR="003E76E6" w:rsidRPr="000F4E41" w:rsidRDefault="003E76E6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6386B4A3" w14:textId="3E2AFDBE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6C63" w:rsidRPr="000F4E41" w14:paraId="4F1FCFA0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6EFE58B" w14:textId="4E2767C5" w:rsidR="00A66C63" w:rsidRPr="000F4E41" w:rsidRDefault="00E268C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1018B">
              <w:rPr>
                <w:rFonts w:ascii="Times New Roman" w:hAnsi="Times New Roman"/>
              </w:rPr>
              <w:t>7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1C460241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  <w:p w14:paraId="44D13BA6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(uwaga zgłoszona </w:t>
            </w:r>
            <w:r w:rsidRPr="000F4E41">
              <w:rPr>
                <w:rFonts w:ascii="Times New Roman" w:hAnsi="Times New Roman"/>
              </w:rPr>
              <w:br/>
              <w:t>w trybie roboczym)</w:t>
            </w:r>
          </w:p>
        </w:tc>
        <w:tc>
          <w:tcPr>
            <w:tcW w:w="2410" w:type="dxa"/>
            <w:shd w:val="clear" w:color="auto" w:fill="auto"/>
          </w:tcPr>
          <w:p w14:paraId="29EA2673" w14:textId="67E2AA47" w:rsidR="00A66C63" w:rsidRPr="000F4E41" w:rsidRDefault="001D7EBD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Uzasadnienie</w:t>
            </w:r>
            <w:r w:rsidR="00A66C63" w:rsidRPr="000F4E41">
              <w:rPr>
                <w:rFonts w:ascii="Times New Roman" w:eastAsiaTheme="minorHAnsi" w:hAnsi="Times New Roman"/>
                <w:b/>
                <w:color w:val="000000"/>
              </w:rPr>
              <w:t xml:space="preserve"> – część X</w:t>
            </w:r>
          </w:p>
        </w:tc>
        <w:tc>
          <w:tcPr>
            <w:tcW w:w="5670" w:type="dxa"/>
            <w:shd w:val="clear" w:color="auto" w:fill="auto"/>
          </w:tcPr>
          <w:p w14:paraId="16D1C6C6" w14:textId="77777777" w:rsidR="00A66C63" w:rsidRPr="000F4E41" w:rsidRDefault="00A66C63" w:rsidP="007214C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eastAsia="Times New Roman" w:hAnsi="Times New Roman"/>
              </w:rPr>
              <w:t xml:space="preserve">W uzasadnieniu do projektu zostały zawarte informacje o możliwych zmianach systemu teleinformatycznego, które nie są związane z projektowanymi zmianami w przepisach. Zawieranie w uzasadnieniu informacji o możliwych zmianach systemu teleinformatycznego, które nie są związane z projektowanymi zmianami w przepisach, są niewłaściwe i niezasadne. Należy dodać, że na stronie 3 w pkt 2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ppkt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 xml:space="preserve"> 1 Oceny Skutków Regulacji znajduje się powtórzenie kwestii zawartej w uzasadnieniu.</w:t>
            </w:r>
          </w:p>
        </w:tc>
        <w:tc>
          <w:tcPr>
            <w:tcW w:w="5103" w:type="dxa"/>
          </w:tcPr>
          <w:p w14:paraId="08C347DD" w14:textId="6758B529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Uwaga nieuwzględniona </w:t>
            </w:r>
          </w:p>
          <w:p w14:paraId="46A8AA06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4F8F7F9F" w14:textId="461F3003" w:rsidR="00A66C63" w:rsidRPr="000F4E41" w:rsidRDefault="00A66C63" w:rsidP="007214C3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Informacje zawarte w pkt X uzasadnienia oraz </w:t>
            </w:r>
            <w:r w:rsidRPr="000F4E41">
              <w:rPr>
                <w:rFonts w:ascii="Times New Roman" w:eastAsia="Times New Roman" w:hAnsi="Times New Roman"/>
              </w:rPr>
              <w:t xml:space="preserve">w pkt 2 </w:t>
            </w:r>
            <w:proofErr w:type="spellStart"/>
            <w:r w:rsidRPr="000F4E41">
              <w:rPr>
                <w:rFonts w:ascii="Times New Roman" w:eastAsia="Times New Roman" w:hAnsi="Times New Roman"/>
              </w:rPr>
              <w:t>ppkt</w:t>
            </w:r>
            <w:proofErr w:type="spellEnd"/>
            <w:r w:rsidRPr="000F4E41">
              <w:rPr>
                <w:rFonts w:ascii="Times New Roman" w:eastAsia="Times New Roman" w:hAnsi="Times New Roman"/>
              </w:rPr>
              <w:t xml:space="preserve"> 1 Oceny Skutków Regulacji mają na celu pełne przedstawienie uwarunkowań prawnych i faktycznych dotyczących zmian wprowadzanych w ustawie z dnia 6 grudnia 1996 r. o zastawie rejestrowym i rejestrze zastawów. </w:t>
            </w:r>
          </w:p>
        </w:tc>
      </w:tr>
      <w:tr w:rsidR="00A66C63" w:rsidRPr="000F4E41" w14:paraId="70866048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126D174D" w14:textId="138CA750" w:rsidR="00A66C63" w:rsidRPr="000F4E41" w:rsidRDefault="00E268C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C1018B">
              <w:rPr>
                <w:rFonts w:ascii="Times New Roman" w:hAnsi="Times New Roman"/>
              </w:rPr>
              <w:t>8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E23A735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38D28BF9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Uzasadnienie – część XII</w:t>
            </w:r>
          </w:p>
        </w:tc>
        <w:tc>
          <w:tcPr>
            <w:tcW w:w="5670" w:type="dxa"/>
            <w:shd w:val="clear" w:color="auto" w:fill="auto"/>
          </w:tcPr>
          <w:p w14:paraId="0050A2B5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Uzasadnienie projektu we wskazanym fragmencie jest niespójne z treścią projektowanego art. 6 pkt 2 (art. 21c ust. 3 </w:t>
            </w:r>
            <w:r w:rsidRPr="000F4E41">
              <w:rPr>
                <w:rFonts w:ascii="Times New Roman" w:hAnsi="Times New Roman"/>
              </w:rPr>
              <w:lastRenderedPageBreak/>
              <w:t xml:space="preserve">pkt 2 ustawy </w:t>
            </w:r>
            <w:r w:rsidRPr="000F4E41">
              <w:rPr>
                <w:rFonts w:ascii="Times New Roman" w:hAnsi="Times New Roman"/>
                <w:i/>
              </w:rPr>
              <w:t xml:space="preserve">o </w:t>
            </w:r>
            <w:proofErr w:type="spellStart"/>
            <w:r w:rsidRPr="000F4E41">
              <w:rPr>
                <w:rFonts w:ascii="Times New Roman" w:hAnsi="Times New Roman"/>
                <w:i/>
              </w:rPr>
              <w:t>CEiDG</w:t>
            </w:r>
            <w:proofErr w:type="spellEnd"/>
            <w:r w:rsidRPr="000F4E41">
              <w:rPr>
                <w:rFonts w:ascii="Times New Roman" w:hAnsi="Times New Roman"/>
              </w:rPr>
              <w:t>).</w:t>
            </w:r>
            <w:r w:rsidRPr="000F4E41">
              <w:rPr>
                <w:rFonts w:ascii="Times New Roman" w:eastAsiaTheme="minorHAnsi" w:hAnsi="Times New Roman"/>
              </w:rPr>
              <w:t xml:space="preserve"> Zgodnie z tą regulacją, wykreślenie wpisu z urzędu w opisanej w uzasadnieniu sytuacji następuje w razie braku możliwości dokonania przez CEIDG zmiany z urzędu dotychczasowego kodu PKD tej działalności </w:t>
            </w:r>
            <w:r w:rsidRPr="000F4E41">
              <w:rPr>
                <w:rFonts w:ascii="Times New Roman" w:hAnsi="Times New Roman"/>
                <w:b/>
              </w:rPr>
              <w:t>w sposób określony w ust. 1.</w:t>
            </w:r>
          </w:p>
          <w:p w14:paraId="307EA5AA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Art. 21c ust. 1 przewiduje natomiast zmianę kodu PKD w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CEiDG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 z urzędu w sposób ustalony we wzajemnych relacjach jednoznacznych, </w:t>
            </w:r>
            <w:r w:rsidRPr="000F4E41">
              <w:rPr>
                <w:rFonts w:ascii="Times New Roman" w:hAnsi="Times New Roman"/>
                <w:b/>
              </w:rPr>
              <w:t xml:space="preserve">a nie wieloznacznych, o których mówi art. 21b. </w:t>
            </w:r>
          </w:p>
          <w:p w14:paraId="05A62F2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związku z tym konieczne byłoby dostosowanie albo uzasadnienia projektu (wraz z odpowiednim fragmentem OSR w pkt 5, str. 6), albo treści art. 6 pkt 2 projektu ustawy w zakresie art. 21c ust. 3 pkt 2 ustawy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o </w:t>
            </w:r>
            <w:proofErr w:type="spellStart"/>
            <w:r w:rsidRPr="000F4E41">
              <w:rPr>
                <w:rFonts w:ascii="Times New Roman" w:eastAsiaTheme="minorHAnsi" w:hAnsi="Times New Roman"/>
                <w:i/>
                <w:iCs/>
              </w:rPr>
              <w:t>CEiDG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>.</w:t>
            </w:r>
          </w:p>
          <w:p w14:paraId="536C66A0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Podobna uwaga dotyczy części VII (s. 16) uzasadnienia projektu.</w:t>
            </w:r>
          </w:p>
        </w:tc>
        <w:tc>
          <w:tcPr>
            <w:tcW w:w="5103" w:type="dxa"/>
          </w:tcPr>
          <w:p w14:paraId="00A9F872" w14:textId="72BC41EE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 xml:space="preserve">Uwaga zostanie uwzględniona </w:t>
            </w:r>
          </w:p>
          <w:p w14:paraId="2B0C43C6" w14:textId="3C4DAA91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ECA4358" w14:textId="79D6CAAB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A66C63" w:rsidRPr="000F4E41" w14:paraId="08889EC2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E2897C6" w14:textId="5D4B7F04" w:rsidR="00A66C63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39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26537D3E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6BF8862B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2</w:t>
            </w:r>
          </w:p>
          <w:p w14:paraId="384006E0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0B547E8B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pkt 2.5. Zmiany w ustawie o </w:t>
            </w:r>
            <w:r w:rsidRPr="000F4E41">
              <w:rPr>
                <w:rFonts w:ascii="Times New Roman" w:eastAsiaTheme="minorHAnsi" w:hAnsi="Times New Roman"/>
                <w:bCs/>
              </w:rPr>
              <w:t xml:space="preserve">Centralnej Ewidencji i Informacji o Działalności Gospodarczej i Punkcie Informacji dla Przedsiębiorcy w </w:t>
            </w:r>
            <w:proofErr w:type="spellStart"/>
            <w:r w:rsidRPr="000F4E41">
              <w:rPr>
                <w:rFonts w:ascii="Times New Roman" w:eastAsiaTheme="minorHAnsi" w:hAnsi="Times New Roman"/>
                <w:bCs/>
              </w:rPr>
              <w:t>ppkt</w:t>
            </w:r>
            <w:proofErr w:type="spellEnd"/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2.5.2 (str. 6) „Na podstawie danych z CEIDG ustalono, że ok. 70 tysięcy wpisów ma aktualnie niepoprawny kod PKD bądź nie posiada żadnego kodu PKD(…)”.</w:t>
            </w:r>
          </w:p>
          <w:p w14:paraId="438752B1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mojej opinii założenie, że osoba nieaktualizująca wpisu w CEIDG (do czego zobowiązuje ją art. 15 ustawy </w:t>
            </w:r>
            <w:r w:rsidRPr="000F4E41">
              <w:rPr>
                <w:rFonts w:ascii="Times New Roman" w:hAnsi="Times New Roman"/>
                <w:i/>
              </w:rPr>
              <w:t>o CEIDG</w:t>
            </w:r>
            <w:r w:rsidRPr="000F4E41">
              <w:rPr>
                <w:rFonts w:ascii="Times New Roman" w:hAnsi="Times New Roman"/>
              </w:rPr>
              <w:t>) w zakresie kodu PKD faktycznie nie wykonuje działalności jest błędne</w:t>
            </w:r>
            <w:r w:rsidRPr="000F4E41">
              <w:rPr>
                <w:rFonts w:ascii="Times New Roman" w:eastAsiaTheme="minorHAnsi" w:hAnsi="Times New Roman"/>
              </w:rPr>
              <w:t xml:space="preserve">, gdyż wśród beneficjentów ulgi na działalność badawczo-rozwojową lub korzystających z preferencyjnego opodatkowania stawką 5% dochodów z kwalifikowalnych praw własności intelektualnej (IP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box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) w latach 2019-2022 co najmniej 610 podatników nie ma wskazanego kodu PKD. Wskazuje to na konieczność uwzględnienia alternatywnego sposobu pozyskania brakujących danych o kodzie PKD prowadzonej działalności np. za pośrednictwem składanych rocznych zeznań podatkowych. Brak informacji o kodzie działalności (PKD) uniemożliwia (ogranicza) zakres i spójność planowanych do przeprowadzenia cyklicznych analiz efektywności ulg podatkowych na B+R i IP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box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 (wpływu ulg na innowacyjność przedsiębiorstw) w ramach konsorcjalnego projektu FIRMINREG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Gospostrateg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- VI/0029/2021-00 „Monitorowanie działalności innowacyjnej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firm i ocena skutków regulacji jako wsparcie dla polityki gospodarczej”, którego liderem merytorycznym jest Ministerstwo Finansów.</w:t>
            </w:r>
          </w:p>
          <w:p w14:paraId="397C32FB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2.5.3 (str. 6). </w:t>
            </w:r>
          </w:p>
          <w:p w14:paraId="6CBCA97D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Ponadto, w związku z powyższą uwagą </w:t>
            </w:r>
            <w:r w:rsidRPr="000F4E41">
              <w:rPr>
                <w:rFonts w:ascii="Times New Roman" w:hAnsi="Times New Roman"/>
              </w:rPr>
              <w:t xml:space="preserve">wskazane jest również zaplanowanie możliwości przekazywania drogą elektroniczną uzupełnionych (wcześniej brakujących w CEIDG ok. 70 tys. wpisów) kodów PKD z Centralnego Rejestru Podmiotów – Krajowej Ewidencji Podatników </w:t>
            </w:r>
            <w:r w:rsidRPr="000F4E41">
              <w:rPr>
                <w:rFonts w:ascii="Times New Roman" w:eastAsiaTheme="minorHAnsi" w:hAnsi="Times New Roman"/>
              </w:rPr>
              <w:t>(po złożeniu zeznania rocznego na potrzeby rozliczenia podatku dochodowego z uzupełnionym kodem PKD) do CEIDG.</w:t>
            </w:r>
          </w:p>
          <w:p w14:paraId="1CBF063D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Wnioskuję także o </w:t>
            </w:r>
            <w:r w:rsidRPr="000F4E41">
              <w:rPr>
                <w:rFonts w:ascii="Times New Roman" w:hAnsi="Times New Roman"/>
              </w:rPr>
              <w:t>zmianę zwrotu z „lub zamienioną z klasyfikacją”, na „lub zmienioną klasyfikacją”.</w:t>
            </w:r>
          </w:p>
        </w:tc>
        <w:tc>
          <w:tcPr>
            <w:tcW w:w="5103" w:type="dxa"/>
          </w:tcPr>
          <w:p w14:paraId="675F264D" w14:textId="7149D450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 xml:space="preserve">Wyjaśnienie </w:t>
            </w:r>
            <w:proofErr w:type="spellStart"/>
            <w:r w:rsidRPr="000F4E41">
              <w:rPr>
                <w:rFonts w:ascii="Times New Roman" w:hAnsi="Times New Roman"/>
                <w:b/>
              </w:rPr>
              <w:t>MRiT</w:t>
            </w:r>
            <w:proofErr w:type="spellEnd"/>
            <w:r w:rsidR="00C62FC4" w:rsidRPr="000F4E41">
              <w:rPr>
                <w:rFonts w:ascii="Times New Roman" w:hAnsi="Times New Roman"/>
                <w:b/>
              </w:rPr>
              <w:t>:</w:t>
            </w:r>
          </w:p>
          <w:p w14:paraId="484D5780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5A22A92F" w14:textId="1ED1FB28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Dzięki systematycznie podejmowanym przez </w:t>
            </w: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 xml:space="preserve"> działaniom na rzecz poprawy jakości danych liczba wpisów bez kodów PKD sukcesywnie spada, obecnie jest to ok. 51 tys. </w:t>
            </w:r>
          </w:p>
          <w:p w14:paraId="7EC14830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zakresie podniesionego przez MF problemu 610 podatników, którzy skorzystali z ulgi podatkowej „IP </w:t>
            </w:r>
            <w:proofErr w:type="spellStart"/>
            <w:r w:rsidRPr="000F4E41">
              <w:rPr>
                <w:rFonts w:ascii="Times New Roman" w:hAnsi="Times New Roman"/>
              </w:rPr>
              <w:t>box</w:t>
            </w:r>
            <w:proofErr w:type="spellEnd"/>
            <w:r w:rsidRPr="000F4E41">
              <w:rPr>
                <w:rFonts w:ascii="Times New Roman" w:hAnsi="Times New Roman"/>
              </w:rPr>
              <w:t xml:space="preserve">” w latach 2019-2022 należy w pierwszej kolejności zwrócić uwagę, że przedstawione dane dotyczą okresu przeszłego. </w:t>
            </w:r>
          </w:p>
          <w:p w14:paraId="57FB4AA7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 MF informuje, że ww. okresie 610 podatników skorzystało z ulgi podatkowej "IP </w:t>
            </w:r>
            <w:proofErr w:type="spellStart"/>
            <w:r w:rsidRPr="000F4E41">
              <w:rPr>
                <w:rFonts w:ascii="Times New Roman" w:hAnsi="Times New Roman"/>
              </w:rPr>
              <w:t>box</w:t>
            </w:r>
            <w:proofErr w:type="spellEnd"/>
            <w:r w:rsidRPr="000F4E41">
              <w:rPr>
                <w:rFonts w:ascii="Times New Roman" w:hAnsi="Times New Roman"/>
              </w:rPr>
              <w:t xml:space="preserve">”, pomimo braku kodu PKD. Z informacji nie wynika jednak czy nie posiadają oni żadnego kodu PKD czy też kodu przyjętego przez MF dla sporządzania raportu w ramach projektu MF „Monitorowanie działalności innowacyjnej firm i ocena skutków regulacji jako wsparcie dla polityki gospodarczej” jako odpowiadającego rodzajowi działalności badanej we wspomnianym projekcie, i tym samym związanego z ulgą „IP </w:t>
            </w:r>
            <w:proofErr w:type="spellStart"/>
            <w:r w:rsidRPr="000F4E41">
              <w:rPr>
                <w:rFonts w:ascii="Times New Roman" w:hAnsi="Times New Roman"/>
              </w:rPr>
              <w:t>box</w:t>
            </w:r>
            <w:proofErr w:type="spellEnd"/>
            <w:r w:rsidRPr="000F4E41">
              <w:rPr>
                <w:rFonts w:ascii="Times New Roman" w:hAnsi="Times New Roman"/>
              </w:rPr>
              <w:t xml:space="preserve">”. W związku z tym, że MF nieprecyzyjnie opisało ww. grupę 610 podatników </w:t>
            </w: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 xml:space="preserve"> nie ma możliwości weryfikacji, czy należą oni </w:t>
            </w:r>
            <w:r w:rsidRPr="000F4E41">
              <w:rPr>
                <w:rFonts w:ascii="Times New Roman" w:hAnsi="Times New Roman"/>
              </w:rPr>
              <w:lastRenderedPageBreak/>
              <w:t xml:space="preserve">do przedsiębiorców wpisanych do CEIDG i nie posiadają we wpisie w CEIDG żadnego kodu PKD, czy też nie posiadają kodu PKD związanego z działalnością informatyczną. </w:t>
            </w:r>
          </w:p>
          <w:p w14:paraId="5E6BD430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Z dotychczasowych doświadczeń i analiz prowadzonych przez </w:t>
            </w: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 xml:space="preserve"> wynika bowiem, że grupa wpisów bez kodów PKD bądź z błędnymi kodami PKD to wpisy przeniesione z ewidencji gminnych w 2011 r. do CEIDG, w których często brakuje również innych danych ewidencyjnych lub informacyjnych. Prowadzone przez </w:t>
            </w: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 xml:space="preserve"> postepowania administracyjne w stosunku do przedsiębiorców, we wpisach których brakowało kodów PKD, pokazują, że w zdecydowanej większości przypadków osoby te nie prowadzą działalności gospodarczej a postepowania kończą się wykreśleniem wpisu z CEIDG (np. z uwagi na trwałe zaprzestanie prowadzenia działalności lub niezgodność wpisanych danych z rzeczywistym stanem rzeczy).</w:t>
            </w:r>
          </w:p>
          <w:p w14:paraId="69B82860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Rozumiejąc potrzebę posiadania, również przez MF, aktualnych danych dotyczących rodzaju prowadzonej działalności gospodarczej </w:t>
            </w: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 xml:space="preserve"> przedstawiło kompleksową propozycje ich uaktualniania w CEIDG. Należy podkreślić, że zaproponowane rozwiązania rozkładają się na etapy, a dopiero ostatni z nich oznacza wykreślenie wpisu z CEIDG. Zakłada się, że w okresie równoczesnego stosowania starej i nowej klasyfikacji PKD (założenie obejmowało okres 2 lat) przedsiębiorcy będą uzupełniać swoje wpisy o aktualne kody PKD. Uzupełnienie wpisów lub zmiana wpisów w CEIDG w zakresie kodów PKD (każdy wniosek o zmianę będzie wymuszał aktualizację kodów PKD zgodnie z klasyfikacją 2025) obywać się będzie poprzez złożenie wniosku CEIDG-1, który każdorazowo jest przekazywany do MF (oraz ZUS i GUS) w ramach „jednego okienka” Następnie po upływie terminu równoczesnego stosowania CEIDG dokona przeklasyfikowania PKD 2007 na PKD 2025 we wpisach przedsiębiorców, zgodnie z </w:t>
            </w:r>
            <w:proofErr w:type="spellStart"/>
            <w:r w:rsidRPr="000F4E41">
              <w:rPr>
                <w:rFonts w:ascii="Times New Roman" w:hAnsi="Times New Roman"/>
              </w:rPr>
              <w:t>tzw</w:t>
            </w:r>
            <w:proofErr w:type="spellEnd"/>
            <w:r w:rsidRPr="000F4E41">
              <w:rPr>
                <w:rFonts w:ascii="Times New Roman" w:hAnsi="Times New Roman"/>
              </w:rPr>
              <w:t xml:space="preserve"> „kodami przejścia”. I wyłącznie w przypadku braku możliwości </w:t>
            </w:r>
            <w:r w:rsidRPr="000F4E41">
              <w:rPr>
                <w:rFonts w:ascii="Times New Roman" w:hAnsi="Times New Roman"/>
              </w:rPr>
              <w:lastRenderedPageBreak/>
              <w:t xml:space="preserve">dokonana zmiany kodu np. brak kodu PKD we wpisie, automatycznie wpis będzie wykreślany z CEIDG. </w:t>
            </w:r>
          </w:p>
          <w:p w14:paraId="58F1DD24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Należy zauważyć, że rodzaj prowadzonej działalności gospodarczej określony kodem PKD jest daną wpisową w CEIDG – art. 5 ust. 1 pkt 8 ustawy o CEIDG i PIP, a przedsiębiorca ma obowiązek aktualizacji tych informacji – art. 15 ustawy o CEIDG i PIP. </w:t>
            </w:r>
          </w:p>
          <w:p w14:paraId="51BD87FE" w14:textId="7DB158F6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Zaproponowane przez </w:t>
            </w: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 xml:space="preserve"> rozwiązania prowadzą do systemowego uaktualnienia wpisów w CEIDG, o co wnioskowało również MF. Co ważne, w ramach tzw. „jednego okienka” dane w zakresie rodzaju prowadzonej działalności w postaci kodów PKD wybranych przez przedsiębiorcę składającego wniosek o wpis w CEIDG są przekazywane do MF (CRP KEP), a więc zapewnienie poprawności tych danych wydaje się być ważne z punktu widzenia obu rejestrów – CEIDG i CRP KEP. Dodatkowo należy podkreślić, że nie będzie możliwe złożenie wniosku o rozpoczęcie działalności gospodarczej i wskazania starych kodów PKD – system będzie wymuszał podanie kodów zgodnie z klasyfikacją z 2025.  Na marginesie </w:t>
            </w:r>
            <w:r w:rsidR="004C218F">
              <w:rPr>
                <w:rFonts w:ascii="Times New Roman" w:hAnsi="Times New Roman"/>
              </w:rPr>
              <w:t>należy</w:t>
            </w:r>
            <w:r w:rsidRPr="000F4E41">
              <w:rPr>
                <w:rFonts w:ascii="Times New Roman" w:hAnsi="Times New Roman"/>
              </w:rPr>
              <w:t xml:space="preserve"> podkreślić, że po 2011 r. (po uruchomieniu CEIDG) nie było możliwe złożenie wniosku CEIDG-1 bez wskazania kodu PKD.  A zatem problem wpisów bez kodów PKD dotyczy wpisów przeniesionych z ewidencji gminnych do systemu CEIDG, które nie były edytowane po 2011 r.</w:t>
            </w:r>
          </w:p>
          <w:p w14:paraId="6F16F3E9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Propozycja uzupełnienia wpisów o kody PKD przez przedsiębiorcę w zeznaniach podatkowych za rok ubiegły a następnie przekazanie tych danych z MF do CEIDG w naszej ocenie nie wydaje się zasadna.</w:t>
            </w:r>
          </w:p>
          <w:p w14:paraId="5E982D46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Propozycja nie gwarantuje aktualności danych w zakresie kodu PKD bowiem przedsiębiorcy uzupełniają PIT-y w danym roku, ale za rok poprzedni. A zatem stan zawarty w formularzach podatkowych dotyczy danych min sprzed roku. Dodatkowo uwzględniając czas przekazania i opracowania mechanizmów przekazania danych z PIT do CEIDG, informacje z MF do </w:t>
            </w: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  <w:r w:rsidRPr="000F4E41">
              <w:rPr>
                <w:rFonts w:ascii="Times New Roman" w:hAnsi="Times New Roman"/>
              </w:rPr>
              <w:t xml:space="preserve"> już będą min sprzed 2 lat </w:t>
            </w:r>
            <w:r w:rsidRPr="000F4E41">
              <w:rPr>
                <w:rFonts w:ascii="Times New Roman" w:hAnsi="Times New Roman"/>
              </w:rPr>
              <w:lastRenderedPageBreak/>
              <w:t>(np. dane z PIT za rok 2025 CEIDG prawdopodobnie otrzyma pod koniec 2026). Aktualnie formularz PIT36/ PIT36L nie zawiera pola do wskazania kodu PKD, a zatem wymagałoby to zmiany formularzy. CEIDG powinno zawierać aktualne dane o prowadzonej działalności gospodarczej, a nie dane historyczne o działalności wykonywanej w latach poprzednich.</w:t>
            </w:r>
          </w:p>
          <w:p w14:paraId="0F0DCB8C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Przyjęcie ww. rozwiązania spowoduje także problemy związane z „nadpisywaniem danych” i wątpliwościami, który kod PKD jest aktualny – np. w przypadku gdy przedsiębiorca złoży wniosek aktualizujący kod PKD w CEIDG przed „zaciągnięciem” danych z </w:t>
            </w:r>
            <w:proofErr w:type="spellStart"/>
            <w:r w:rsidRPr="000F4E41">
              <w:rPr>
                <w:rFonts w:ascii="Times New Roman" w:hAnsi="Times New Roman"/>
              </w:rPr>
              <w:t>PITu</w:t>
            </w:r>
            <w:proofErr w:type="spellEnd"/>
            <w:r w:rsidRPr="000F4E41">
              <w:rPr>
                <w:rFonts w:ascii="Times New Roman" w:hAnsi="Times New Roman"/>
              </w:rPr>
              <w:t xml:space="preserve"> za rok poprzedni. Wprowadzanie ww. rozwiązań nie może prowadzić do wątpliwości co do danych przedsiębiorców. Należy bowiem pamiętać, że zgodnie z art. 16 ust. 1 ustawy CEIDG domniemywa się, ze dane wpisane do CEIDG są prawdziwe.</w:t>
            </w:r>
          </w:p>
          <w:p w14:paraId="1F4669AA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Podkreślić należy, ze nawet w przypadku wykreślenia wpisu przedsiębiorcy, który faktycznie prowadzi działalność (gdy nie dochowa on obowiązku uzupełnienia wpisu w CEIDG o kod PKD 2025 w terminie do tego przewidzianym oraz nie była możliwa zmiana automatyczna przez CEIDG), to w każdej chwili może on ponownie dokonać wpisu w CEIDG i wskazać rzeczywistą datę rozpoczęcia działalności (może to być data wsteczna, a nie data złożenia wniosku). Dokonując w takim przypadku nowego wpisu w CEIDG przedsiębiorca wskaże komplet aktualnych, wymaganych danych.</w:t>
            </w:r>
          </w:p>
          <w:p w14:paraId="6B507440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Ponadto, obserwując stale zmniejszającą się liczbę wpisów, dla których brak jest kodu PKD lub jest on niepoprawny można przyjąć, że w momencie dojścia do ostatniego etapu uaktualniania danych PKD w CEIDG, faktyczna liczba wpisów wykreślonych będzie znacząco mniejsza.  </w:t>
            </w:r>
          </w:p>
        </w:tc>
      </w:tr>
      <w:tr w:rsidR="00A66C63" w:rsidRPr="000F4E41" w14:paraId="7765B920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7C3F3457" w14:textId="20B533A3" w:rsidR="00A66C63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40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1FC7F2D5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54BB875B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4</w:t>
            </w:r>
          </w:p>
        </w:tc>
        <w:tc>
          <w:tcPr>
            <w:tcW w:w="5670" w:type="dxa"/>
            <w:shd w:val="clear" w:color="auto" w:fill="auto"/>
          </w:tcPr>
          <w:p w14:paraId="39448DD1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W pkt 4 OSR;</w:t>
            </w:r>
          </w:p>
          <w:p w14:paraId="16016A03" w14:textId="77777777" w:rsidR="00A66C63" w:rsidRPr="000F4E41" w:rsidRDefault="00A66C63" w:rsidP="007214C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Tabela, str. 7, 8, wiersz 1/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Podmioty gospodarki narodowej, zarejestrowane w CEIDG, KRS i REGON,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lastRenderedPageBreak/>
              <w:t xml:space="preserve">których działalność może zostać przeklasyfikowana i automatycznie zmieniona, w przypadku zmian klasyfikacji PKD </w:t>
            </w:r>
            <w:r w:rsidRPr="000F4E41">
              <w:rPr>
                <w:rFonts w:ascii="Times New Roman" w:eastAsiaTheme="minorHAnsi" w:hAnsi="Times New Roman"/>
              </w:rPr>
              <w:t>i</w:t>
            </w:r>
          </w:p>
          <w:p w14:paraId="4F4CBBD2" w14:textId="77777777" w:rsidR="00A66C63" w:rsidRPr="000F4E41" w:rsidRDefault="00A66C63" w:rsidP="007214C3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Tabela, str. 13, wiersz 15/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Przedsiębiorcy – podmioty wpisane do KRS.</w:t>
            </w:r>
          </w:p>
          <w:p w14:paraId="4DCE531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Wątpliwość budzi różnica między liczbą 809 939 podmiotów wpisanych do KRS (str. 8 OSR) a liczbą 651 769 przedsiębiorców – podmiotów wpisanych do KRS (str. 13 OSR ). Czy na pewno podmioty stanowiące różnicę między wyżej wskazanymi</w:t>
            </w:r>
          </w:p>
          <w:p w14:paraId="7F57419E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liczbami zostaną dotknięte skutkami ustawy, gdyż nie zostały uwzględnione w kalkulacji „6. Wpływu na sektor finansów publicznych” na str. 14 i 15 OSR?</w:t>
            </w:r>
          </w:p>
        </w:tc>
        <w:tc>
          <w:tcPr>
            <w:tcW w:w="5103" w:type="dxa"/>
          </w:tcPr>
          <w:p w14:paraId="48F9191E" w14:textId="549E314A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uwzględniona</w:t>
            </w:r>
          </w:p>
          <w:p w14:paraId="0724EA9B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17D528B" w14:textId="51A7FC4A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25588A12" w14:textId="0BEC2FC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OSR zostanie zweryfikowany.</w:t>
            </w:r>
          </w:p>
          <w:p w14:paraId="62C7A9BD" w14:textId="0A95632E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bookmarkStart w:id="27" w:name="_Hlk161653701"/>
            <w:r w:rsidRPr="000F4E41">
              <w:rPr>
                <w:rFonts w:ascii="Times New Roman" w:hAnsi="Times New Roman"/>
              </w:rPr>
              <w:t xml:space="preserve">Informacje o liczbie podmiotów gospodarki narodowej (str. 7,8) w podziale na rejestry (w tym KRS – 809 939) – jak wskazano w źródle danych - pochodzą z rejestru REGON wg stanu na koniec lutego 2024 (dla KRS podano łącznie liczbę podmiotów z rejestru </w:t>
            </w:r>
            <w:r w:rsidRPr="000F4E41">
              <w:rPr>
                <w:rFonts w:ascii="Times New Roman" w:hAnsi="Times New Roman"/>
                <w:b/>
              </w:rPr>
              <w:t>przedsiębiorców (678 146)</w:t>
            </w:r>
            <w:r w:rsidRPr="000F4E41">
              <w:rPr>
                <w:rFonts w:ascii="Times New Roman" w:hAnsi="Times New Roman"/>
              </w:rPr>
              <w:t xml:space="preserve"> i rejestru stowarzyszeń (132 470) dla których PKD przeważającej działalności uzupełniane jest na podstawie danych z CRP KEP. </w:t>
            </w:r>
          </w:p>
          <w:p w14:paraId="20C7A907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Wskazana zostanie łączna liczba podmiotów rejestru REGON.</w:t>
            </w:r>
          </w:p>
          <w:bookmarkEnd w:id="27"/>
          <w:p w14:paraId="4014C210" w14:textId="64901E1E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A66C63" w:rsidRPr="000F4E41" w14:paraId="5811688A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147BEE40" w14:textId="0185C6F8" w:rsidR="00A66C63" w:rsidRPr="000F4E41" w:rsidRDefault="00E268C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C1018B">
              <w:rPr>
                <w:rFonts w:ascii="Times New Roman" w:hAnsi="Times New Roman"/>
              </w:rPr>
              <w:t>1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16FB6D5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MS</w:t>
            </w:r>
          </w:p>
        </w:tc>
        <w:tc>
          <w:tcPr>
            <w:tcW w:w="2410" w:type="dxa"/>
            <w:shd w:val="clear" w:color="auto" w:fill="auto"/>
          </w:tcPr>
          <w:p w14:paraId="65C60250" w14:textId="77777777" w:rsidR="00A66C63" w:rsidRPr="000F4E41" w:rsidRDefault="00A66C63" w:rsidP="007214C3">
            <w:pPr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5</w:t>
            </w:r>
          </w:p>
        </w:tc>
        <w:tc>
          <w:tcPr>
            <w:tcW w:w="5670" w:type="dxa"/>
            <w:shd w:val="clear" w:color="auto" w:fill="auto"/>
          </w:tcPr>
          <w:p w14:paraId="39E7B436" w14:textId="171637C2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Należy wskazać, że w punkcie 5 Oceny Skutków Regulacji, dotyczącym konsultacji w sprawie projektu ustawy, wskazano szereg podmiotów, do których projekt został skierowany w ramach konsultacji społecznych/opiniowania. </w:t>
            </w:r>
            <w:r w:rsidRPr="000F4E41">
              <w:rPr>
                <w:rFonts w:ascii="Times New Roman" w:eastAsiaTheme="minorHAnsi" w:hAnsi="Times New Roman"/>
                <w:b/>
              </w:rPr>
              <w:t>Nie wymieniono tam jednak Krajowej Rady Notarialnej.</w:t>
            </w:r>
            <w:r w:rsidRPr="000F4E41">
              <w:rPr>
                <w:rFonts w:ascii="Times New Roman" w:eastAsiaTheme="minorHAnsi" w:hAnsi="Times New Roman"/>
              </w:rPr>
              <w:t xml:space="preserve"> Nie ulega przy tym wątpliwości, że z uwagi na obowiązki sprawozdawcze, które dotyczą m.in. notariuszy, uzasadnione jest uzupełnienie punktu 5 Oceny Skutków Regulacji o Krajową Radę Notarialną, jako reprezentanta notariatu (art. 38 ustawy – Prawo o notariacie).</w:t>
            </w:r>
          </w:p>
        </w:tc>
        <w:tc>
          <w:tcPr>
            <w:tcW w:w="5103" w:type="dxa"/>
          </w:tcPr>
          <w:p w14:paraId="417B17C0" w14:textId="1E5EB5F1" w:rsidR="005408AE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3276A030" w14:textId="77777777" w:rsidR="00F31284" w:rsidRPr="000F4E41" w:rsidRDefault="00F31284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5DA9D9B2" w14:textId="682F9850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Zakres podmiotów, którym projekt ustawy o zmianie ustawy o statystyce publicznej przesłano do opiniowania i konsultacji był szeroki. Ponadto, projekt ustawy był udostępniony w Biuletynie Informacji Publicznej Głównego Urzędu Statystycznego oraz na stronie podmiotowej Rządowego Centrum Legislacji. Wszyscy zainteresowani mieli możliwość zgłaszania uwag do projektowanej ustawy.</w:t>
            </w:r>
          </w:p>
        </w:tc>
      </w:tr>
      <w:tr w:rsidR="00A66C63" w:rsidRPr="000F4E41" w14:paraId="7427595F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2EE45F09" w14:textId="13192825" w:rsidR="00A66C63" w:rsidRPr="000F4E41" w:rsidRDefault="00E268C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1018B">
              <w:rPr>
                <w:rFonts w:ascii="Times New Roman" w:hAnsi="Times New Roman"/>
              </w:rPr>
              <w:t>2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0A1E9B23" w14:textId="1AFFC9E5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Koordynator OSR </w:t>
            </w:r>
            <w:r w:rsidR="001631F4">
              <w:rPr>
                <w:rFonts w:ascii="Times New Roman" w:hAnsi="Times New Roman"/>
              </w:rPr>
              <w:br/>
            </w:r>
            <w:bookmarkStart w:id="28" w:name="_GoBack"/>
            <w:bookmarkEnd w:id="28"/>
            <w:r w:rsidRPr="000F4E41">
              <w:rPr>
                <w:rFonts w:ascii="Times New Roman" w:hAnsi="Times New Roman"/>
              </w:rPr>
              <w:t>w KPRM</w:t>
            </w:r>
          </w:p>
        </w:tc>
        <w:tc>
          <w:tcPr>
            <w:tcW w:w="2410" w:type="dxa"/>
            <w:shd w:val="clear" w:color="auto" w:fill="auto"/>
          </w:tcPr>
          <w:p w14:paraId="53325066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2, 4 i 6</w:t>
            </w:r>
          </w:p>
          <w:p w14:paraId="4C434C38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4CCFE12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Należy wyjaśnić szerzej konieczność zwiększenia etatowego w sądownictwie. Z pkt 6 OSR wynika, że minimalna skala wsparcia powinna wynieść 54 etaty referendarzy sądowych i 54 </w:t>
            </w:r>
          </w:p>
          <w:p w14:paraId="5DFD62B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etaty urzędników sądowych. Jednocześnie w pkt 2 i 4 OSR wskazano, że zmiany miałyby się przyczynić do automatyzacji i zmniejszenia spraw w sądach rejestrowych. Należy wskazać, na ile wskazywane przeklasyfikowanie podmiotów w KRS będzie powodować zwiększenie obciążenie w sposób ciągły (uzasadniające wzrost etatów), a na ile zwiększenie obciążeń miałoby charakter incydentalny, w związku z wejściem w życie projektu.</w:t>
            </w:r>
          </w:p>
        </w:tc>
        <w:tc>
          <w:tcPr>
            <w:tcW w:w="5103" w:type="dxa"/>
          </w:tcPr>
          <w:p w14:paraId="7573FC71" w14:textId="2CBD39D3" w:rsidR="007359D0" w:rsidRPr="000F4E41" w:rsidRDefault="007359D0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</w:t>
            </w:r>
          </w:p>
          <w:p w14:paraId="56A64A84" w14:textId="6FA8203A" w:rsidR="007359D0" w:rsidRPr="000F4E41" w:rsidRDefault="007359D0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OSR został zweryfikowany w oparciu o dane przekazane przez MS</w:t>
            </w:r>
            <w:r w:rsidR="004C218F">
              <w:rPr>
                <w:rFonts w:ascii="Times New Roman" w:hAnsi="Times New Roman"/>
                <w:b/>
              </w:rPr>
              <w:t>, a także w uwzględnieniem nowej</w:t>
            </w:r>
            <w:r w:rsidR="00505D38">
              <w:rPr>
                <w:rFonts w:ascii="Times New Roman" w:hAnsi="Times New Roman"/>
                <w:b/>
              </w:rPr>
              <w:t xml:space="preserve">, proponowanej przez </w:t>
            </w:r>
            <w:r w:rsidR="00505D38" w:rsidRPr="00505D38">
              <w:rPr>
                <w:rFonts w:ascii="Times New Roman" w:hAnsi="Times New Roman"/>
                <w:b/>
              </w:rPr>
              <w:t>Główny Urząd Statystyczny</w:t>
            </w:r>
            <w:r w:rsidR="00505D38">
              <w:rPr>
                <w:rFonts w:ascii="Times New Roman" w:hAnsi="Times New Roman"/>
                <w:b/>
              </w:rPr>
              <w:t xml:space="preserve">, </w:t>
            </w:r>
            <w:r w:rsidR="004C218F">
              <w:rPr>
                <w:rFonts w:ascii="Times New Roman" w:hAnsi="Times New Roman"/>
                <w:b/>
              </w:rPr>
              <w:t xml:space="preserve">metody </w:t>
            </w:r>
            <w:r w:rsidR="004C218F" w:rsidRPr="000F4E41">
              <w:rPr>
                <w:rFonts w:ascii="Times New Roman" w:hAnsi="Times New Roman"/>
                <w:b/>
              </w:rPr>
              <w:t>przeklasyfikowania przedmiot</w:t>
            </w:r>
            <w:r w:rsidR="004C218F">
              <w:rPr>
                <w:rFonts w:ascii="Times New Roman" w:hAnsi="Times New Roman"/>
                <w:b/>
              </w:rPr>
              <w:t>u</w:t>
            </w:r>
            <w:r w:rsidR="004C218F" w:rsidRPr="000F4E41">
              <w:rPr>
                <w:rFonts w:ascii="Times New Roman" w:hAnsi="Times New Roman"/>
                <w:b/>
              </w:rPr>
              <w:t xml:space="preserve"> działalności podmiotów wpisanych do KRS </w:t>
            </w:r>
            <w:r w:rsidR="004C218F">
              <w:rPr>
                <w:rFonts w:ascii="Times New Roman" w:hAnsi="Times New Roman"/>
                <w:b/>
              </w:rPr>
              <w:t>(</w:t>
            </w:r>
            <w:r w:rsidR="004C218F" w:rsidRPr="000F4E41">
              <w:rPr>
                <w:rFonts w:ascii="Times New Roman" w:hAnsi="Times New Roman"/>
                <w:b/>
              </w:rPr>
              <w:t xml:space="preserve">art. 1 pkt 8 oraz art. 5 obecnej wersji </w:t>
            </w:r>
            <w:r w:rsidR="004C218F">
              <w:rPr>
                <w:rFonts w:ascii="Times New Roman" w:hAnsi="Times New Roman"/>
                <w:b/>
              </w:rPr>
              <w:t>projektu ustawy).</w:t>
            </w:r>
          </w:p>
          <w:p w14:paraId="14DB54DF" w14:textId="45EDE7A6" w:rsidR="00505D38" w:rsidRDefault="00505D38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Zgłaszając uwagi do poprzedniej wersji projektu ustawy </w:t>
            </w:r>
            <w:r w:rsidR="007359D0" w:rsidRPr="000F4E41">
              <w:rPr>
                <w:rFonts w:ascii="Times New Roman" w:hAnsi="Times New Roman"/>
                <w:b/>
              </w:rPr>
              <w:t>MS postul</w:t>
            </w:r>
            <w:r w:rsidR="00E75A75" w:rsidRPr="000F4E41">
              <w:rPr>
                <w:rFonts w:ascii="Times New Roman" w:hAnsi="Times New Roman"/>
                <w:b/>
              </w:rPr>
              <w:t>owało</w:t>
            </w:r>
            <w:r w:rsidR="007359D0" w:rsidRPr="000F4E41">
              <w:rPr>
                <w:rFonts w:ascii="Times New Roman" w:hAnsi="Times New Roman"/>
                <w:b/>
              </w:rPr>
              <w:t xml:space="preserve"> zwiększeni</w:t>
            </w:r>
            <w:r w:rsidR="004C218F">
              <w:rPr>
                <w:rFonts w:ascii="Times New Roman" w:hAnsi="Times New Roman"/>
                <w:b/>
              </w:rPr>
              <w:t>e</w:t>
            </w:r>
            <w:r w:rsidR="007359D0" w:rsidRPr="000F4E41">
              <w:rPr>
                <w:rFonts w:ascii="Times New Roman" w:hAnsi="Times New Roman"/>
                <w:b/>
              </w:rPr>
              <w:t xml:space="preserve"> obsady kadrowej</w:t>
            </w:r>
            <w:r>
              <w:rPr>
                <w:rFonts w:ascii="Times New Roman" w:hAnsi="Times New Roman"/>
                <w:b/>
              </w:rPr>
              <w:t xml:space="preserve"> w sądach rejestrowych, co miało generować bardzo wysokie koszty dla budżetu państwa</w:t>
            </w:r>
            <w:r w:rsidR="007359D0" w:rsidRPr="000F4E41">
              <w:rPr>
                <w:rFonts w:ascii="Times New Roman" w:hAnsi="Times New Roman"/>
                <w:b/>
              </w:rPr>
              <w:t>.</w:t>
            </w:r>
            <w:r w:rsidR="007359D0" w:rsidRPr="000F4E41" w:rsidDel="007359D0">
              <w:rPr>
                <w:rFonts w:ascii="Times New Roman" w:hAnsi="Times New Roman"/>
                <w:b/>
              </w:rPr>
              <w:t xml:space="preserve"> </w:t>
            </w:r>
            <w:r w:rsidRPr="00505D38">
              <w:rPr>
                <w:rFonts w:ascii="Times New Roman" w:hAnsi="Times New Roman"/>
                <w:b/>
              </w:rPr>
              <w:t xml:space="preserve">Mając na uwadze zasadę oszczędności (konieczność minimalizacji wydatków z budżetu państwa), projektodawca (Główny Urząd Statystyczny) nie mógł zaakceptować kosztów </w:t>
            </w:r>
            <w:r w:rsidRPr="00505D38">
              <w:rPr>
                <w:rFonts w:ascii="Times New Roman" w:hAnsi="Times New Roman"/>
                <w:b/>
              </w:rPr>
              <w:lastRenderedPageBreak/>
              <w:t>realizacji przeklasyfikowania, oszacowanych przez Ministerstwo Sprawiedliwości, a tym samym wcześniej proponowany pomysł na przeklasyfikowanie stał się niemożliwy do realizacji.</w:t>
            </w:r>
          </w:p>
          <w:p w14:paraId="5CC1069B" w14:textId="7F059969" w:rsidR="00A66C63" w:rsidRPr="000F4E41" w:rsidRDefault="00E75A75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Wobec zmian zaproponowanych w zakresie </w:t>
            </w:r>
            <w:r w:rsidR="004C218F">
              <w:rPr>
                <w:rFonts w:ascii="Times New Roman" w:hAnsi="Times New Roman"/>
                <w:b/>
              </w:rPr>
              <w:t>metody</w:t>
            </w:r>
            <w:r w:rsidRPr="000F4E41">
              <w:rPr>
                <w:rFonts w:ascii="Times New Roman" w:hAnsi="Times New Roman"/>
                <w:b/>
              </w:rPr>
              <w:t xml:space="preserve"> przeklasyfikowania przedmiot</w:t>
            </w:r>
            <w:r w:rsidR="004C218F">
              <w:rPr>
                <w:rFonts w:ascii="Times New Roman" w:hAnsi="Times New Roman"/>
                <w:b/>
              </w:rPr>
              <w:t>u</w:t>
            </w:r>
            <w:r w:rsidRPr="000F4E41">
              <w:rPr>
                <w:rFonts w:ascii="Times New Roman" w:hAnsi="Times New Roman"/>
                <w:b/>
              </w:rPr>
              <w:t xml:space="preserve"> działalności podmiotów wpisanych do KRS </w:t>
            </w:r>
            <w:r w:rsidR="004C218F">
              <w:rPr>
                <w:rFonts w:ascii="Times New Roman" w:hAnsi="Times New Roman"/>
                <w:b/>
              </w:rPr>
              <w:t>(</w:t>
            </w:r>
            <w:r w:rsidRPr="000F4E41">
              <w:rPr>
                <w:rFonts w:ascii="Times New Roman" w:hAnsi="Times New Roman"/>
                <w:b/>
              </w:rPr>
              <w:t xml:space="preserve">art. 1 pkt 8 oraz art. 5 obecnej wersji </w:t>
            </w:r>
            <w:r w:rsidR="004C218F">
              <w:rPr>
                <w:rFonts w:ascii="Times New Roman" w:hAnsi="Times New Roman"/>
                <w:b/>
              </w:rPr>
              <w:t xml:space="preserve">projektu ustawy) w </w:t>
            </w:r>
            <w:r w:rsidRPr="000F4E41">
              <w:rPr>
                <w:rFonts w:ascii="Times New Roman" w:hAnsi="Times New Roman"/>
                <w:b/>
              </w:rPr>
              <w:t>OSR nie uwzględniono kosztów związanych ze zwiększeniem etatów w sądownictwie.</w:t>
            </w:r>
          </w:p>
        </w:tc>
      </w:tr>
      <w:tr w:rsidR="00A66C63" w:rsidRPr="000F4E41" w14:paraId="6BB642C2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249C9563" w14:textId="113F829F" w:rsidR="00A66C63" w:rsidRPr="000F4E41" w:rsidRDefault="00E268C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1018B">
              <w:rPr>
                <w:rFonts w:ascii="Times New Roman" w:hAnsi="Times New Roman"/>
              </w:rPr>
              <w:t>3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261BC4D1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F4E41">
              <w:rPr>
                <w:rFonts w:ascii="Times New Roman" w:hAnsi="Times New Roman"/>
              </w:rPr>
              <w:t>MRPiPS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125A5534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6</w:t>
            </w:r>
          </w:p>
          <w:p w14:paraId="2E83661C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</w:p>
        </w:tc>
        <w:tc>
          <w:tcPr>
            <w:tcW w:w="5670" w:type="dxa"/>
            <w:shd w:val="clear" w:color="auto" w:fill="auto"/>
          </w:tcPr>
          <w:p w14:paraId="01F11F2F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 xml:space="preserve">Zgłaszam następujące uwagi do Oceny Skutków Regulacji projektu ustawy: </w:t>
            </w:r>
          </w:p>
          <w:p w14:paraId="1A460DD7" w14:textId="77777777" w:rsidR="00A66C63" w:rsidRPr="000F4E41" w:rsidRDefault="00A66C63" w:rsidP="007214C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 xml:space="preserve">na stronach 14 i 16 proponuję usunięcie „FGŚP”; </w:t>
            </w:r>
          </w:p>
          <w:p w14:paraId="0C8DBAB1" w14:textId="77777777" w:rsidR="00A66C63" w:rsidRPr="000F4E41" w:rsidRDefault="00A66C63" w:rsidP="007214C3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 xml:space="preserve">w tabeli OSR na stronie 14 (pkt 6 „Wpływ na sektor finansów publicznych”) ujęto pozycję „FP, FGŚP i inne”, podczas gdy Fundusz Pracy jako odrębna jednostka sektora finansów publicznych – państwowy fundusz celowy1, dla którego źródłem przychodów są między innymi obowiązkowe składki określone </w:t>
            </w:r>
            <w:r w:rsidRPr="000F4E41">
              <w:rPr>
                <w:rFonts w:ascii="Times New Roman" w:eastAsiaTheme="minorHAnsi" w:hAnsi="Times New Roman"/>
                <w:color w:val="000000"/>
              </w:rPr>
              <w:br/>
              <w:t xml:space="preserve">w odrębnej ustawie, powinien być imiennie wskazany w osobnej pozycji. </w:t>
            </w:r>
          </w:p>
          <w:p w14:paraId="343FCAA7" w14:textId="1FE94B48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eastAsiaTheme="minorHAnsi" w:hAnsi="Times New Roman"/>
                <w:color w:val="000000"/>
              </w:rPr>
              <w:t>Powyższe uwagi naniesione zostały w trybie rejestracji zmian wraz z komentarzami na dokumencie OSR, stanowiącym załącznik do niniejszego pisma.</w:t>
            </w:r>
          </w:p>
        </w:tc>
        <w:tc>
          <w:tcPr>
            <w:tcW w:w="5103" w:type="dxa"/>
          </w:tcPr>
          <w:p w14:paraId="0E4E44E8" w14:textId="5DB1A547" w:rsidR="00A66C63" w:rsidRPr="000F4E41" w:rsidRDefault="007359D0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 xml:space="preserve">Vide odniesienie do uwagi nr </w:t>
            </w:r>
            <w:r w:rsidR="00282EA6">
              <w:rPr>
                <w:rFonts w:ascii="Times New Roman" w:hAnsi="Times New Roman"/>
                <w:b/>
              </w:rPr>
              <w:t>42</w:t>
            </w:r>
            <w:r w:rsidR="00E268CA">
              <w:rPr>
                <w:rFonts w:ascii="Times New Roman" w:hAnsi="Times New Roman"/>
                <w:b/>
              </w:rPr>
              <w:t>.</w:t>
            </w:r>
          </w:p>
        </w:tc>
      </w:tr>
      <w:tr w:rsidR="00A66C63" w:rsidRPr="000F4E41" w14:paraId="60CC9E84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47764D85" w14:textId="4FEB6AF1" w:rsidR="00A66C63" w:rsidRPr="000F4E41" w:rsidRDefault="00E268C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1018B">
              <w:rPr>
                <w:rFonts w:ascii="Times New Roman" w:hAnsi="Times New Roman"/>
              </w:rPr>
              <w:t>4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2088C547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3A050617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6</w:t>
            </w:r>
          </w:p>
        </w:tc>
        <w:tc>
          <w:tcPr>
            <w:tcW w:w="5670" w:type="dxa"/>
            <w:shd w:val="clear" w:color="auto" w:fill="auto"/>
          </w:tcPr>
          <w:p w14:paraId="6DC77D44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Uwagi do części</w:t>
            </w:r>
            <w:r w:rsidRPr="000F4E41">
              <w:rPr>
                <w:rFonts w:ascii="Times New Roman" w:hAnsi="Times New Roman"/>
                <w:i/>
              </w:rPr>
              <w:t xml:space="preserve"> Źródła finansowania i Dodatkowe informacje, w tym wskazanie źródeł danych i przyjętych do obliczeń założeń </w:t>
            </w:r>
            <w:r w:rsidRPr="000F4E41">
              <w:rPr>
                <w:rFonts w:ascii="Times New Roman" w:hAnsi="Times New Roman"/>
              </w:rPr>
              <w:t>(str. 15):</w:t>
            </w:r>
          </w:p>
          <w:p w14:paraId="191D7C89" w14:textId="77777777" w:rsidR="00A66C63" w:rsidRPr="000F4E41" w:rsidRDefault="00A66C63" w:rsidP="007214C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Wskazano, że „źródłem finansowania kosztów związanych z modyfikacją systemów teleinformatycznych służących do prowadzenia rejestrów sądowych, wynikającą ze zmian wprowadzonych w projektowanej ustawie (obejmującą integrację EKW ze słownikiem TERYT oraz modyfikację w zakresie KRS) będzie część 15 budżetu państwa, dział 755, rozdział 75502 oraz część 37 budżetu państwa, dział 755, rozdział 75501. Koszty te nie będą stanowiły podstawy do ubiegania się o dodatkowe środki finansowe z budżetu państwa na ten cel zarówno w roku wejścia w życie </w:t>
            </w:r>
            <w:r w:rsidRPr="000F4E41">
              <w:rPr>
                <w:rFonts w:ascii="Times New Roman" w:eastAsiaTheme="minorHAnsi" w:hAnsi="Times New Roman"/>
              </w:rPr>
              <w:lastRenderedPageBreak/>
              <w:t xml:space="preserve">proponowanych regulacji jak i w latach następnych.” Jednocześnie w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Dodatkowych informacjach, w tym wskazaniu źródeł danych i przyjętych do obliczeń założeń </w:t>
            </w:r>
            <w:r w:rsidRPr="000F4E41">
              <w:rPr>
                <w:rFonts w:ascii="Times New Roman" w:eastAsiaTheme="minorHAnsi" w:hAnsi="Times New Roman"/>
              </w:rPr>
              <w:t>opisano potrzebę dodatkowych wydatków dla części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15 budżetu państwa, gdzie jako minimum wskazano 54 etaty referendarzy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sądowych i 54 etaty urzędników sądowych (w skrajnym scenariuszu 414 nowych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etatów referendarzy sądowych).</w:t>
            </w:r>
          </w:p>
          <w:p w14:paraId="1B3F5DBA" w14:textId="77777777" w:rsidR="00A66C63" w:rsidRPr="000F4E41" w:rsidRDefault="00A66C63" w:rsidP="007214C3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Dodatkowych informacjach (…) </w:t>
            </w:r>
            <w:r w:rsidRPr="000F4E41">
              <w:rPr>
                <w:rFonts w:ascii="Times New Roman" w:eastAsiaTheme="minorHAnsi" w:hAnsi="Times New Roman"/>
              </w:rPr>
              <w:t>wskazano, że źródłem finansowania modyfikacji „</w:t>
            </w:r>
            <w:r w:rsidRPr="000F4E41">
              <w:rPr>
                <w:rFonts w:ascii="Times New Roman" w:hAnsi="Times New Roman"/>
              </w:rPr>
              <w:t xml:space="preserve">będzie najprawdopodobniej część 15 budżetu państwa, dział 755, rozdział 75502 oraz część 37 budżetu państwa, dział 755, rozdział 75501” co jest niespójne z zapisami w części </w:t>
            </w:r>
            <w:r w:rsidRPr="000F4E41">
              <w:rPr>
                <w:rFonts w:ascii="Times New Roman" w:hAnsi="Times New Roman"/>
                <w:i/>
              </w:rPr>
              <w:t>Źródła finansowania</w:t>
            </w:r>
            <w:r w:rsidRPr="000F4E41">
              <w:rPr>
                <w:rFonts w:ascii="Times New Roman" w:eastAsiaTheme="minorHAnsi" w:hAnsi="Times New Roman"/>
              </w:rPr>
              <w:t>.</w:t>
            </w:r>
          </w:p>
          <w:p w14:paraId="68FB66C2" w14:textId="77777777" w:rsidR="00A66C63" w:rsidRPr="000F4E41" w:rsidRDefault="00A66C63" w:rsidP="007214C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Ponawiam prośbę o wykreślenie zapisu w pkt. 6 OSR „</w:t>
            </w:r>
            <w:r w:rsidRPr="000F4E41">
              <w:rPr>
                <w:rFonts w:ascii="Times New Roman" w:hAnsi="Times New Roman"/>
                <w:i/>
              </w:rPr>
              <w:t xml:space="preserve">Dodatkowe informacje </w:t>
            </w:r>
            <w:r w:rsidRPr="000F4E41">
              <w:rPr>
                <w:rFonts w:ascii="Times New Roman" w:eastAsiaTheme="minorHAnsi" w:hAnsi="Times New Roman"/>
              </w:rPr>
              <w:t xml:space="preserve">(…)” dotyczący zwiększenia etatowego w Ministerstwie Sprawiedliwości. Brak jest podstaw do planowania dodatkowego zatrudnienia w związku z projektowanymi zmianami. Ponadto należy zauważyć, iż nie przedstawiono szczegółowych wyliczeń dotyczących planowanego obciążenia pracą postulowanych etatów w odniesieniu do spraw wynikających z projektowanych zmian. Dodatkowo szacując zapotrzebowanie na nowe etaty w pierwszej kolejności należy dokonać analizy aktualnej liczby nieobsadzonych etatów (i uzupełnić OSR o informację na ten temat), a wnioskowanie o nowe etaty powinno mieć miejsce dopiero w przypadku posiadania możliwie pełnej obsady obecnie posiadanych etatów i realnego obciążenia sprawami. Szacowanie skutków przedmiotowego projektu powinno zostać poprzedzone szczegółową analizą wszystkich procedowanych zmian i dokonywaną na jej podstawie racjonalizacją potrzeb oraz odpowiednią organizacją, które będą prowadzić do sprawnego kierowania kadrami sądownictwa w ramach posiadanych środków. Należy zatem na bieżąco monitorować wpływ nowych spraw po wejściu w życie nowelizacji i dopiero na podstawie tak przedstawionej analizy dokonywać ewentualnego wzmocnienia etatowego w ramach posiadanych etatów. Powyższe jest tym bardziej zasadne,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iż jak zauważono w pkt 4 OSR wejście w życie projektu spowoduje „częściowe zautomatyzowanie aktualizacji danych dotyczących przedmiotu działalności w Krajowym Rejestrze Sądowym i zmniejszenie liczby spraw w sądach rejestrowych”.</w:t>
            </w:r>
          </w:p>
          <w:p w14:paraId="0FA2178A" w14:textId="77777777" w:rsidR="00A66C63" w:rsidRPr="000F4E41" w:rsidRDefault="00A66C63" w:rsidP="007214C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Wskazano, że koszt zmian w systemie CEIDG został wstępnie oszacowany przez Ministerstwo Rozwoju i Technologii na około 200 tys. zł, podobnie jak koszty zmian w zakresie rejestru REGON. Kwoty te nie zostały uzasadnione oraz nie zostały przedstawione żadne źródłowe dane przyjęte do wyliczenia kwot</w:t>
            </w:r>
            <w:r w:rsidRPr="000F4E41">
              <w:rPr>
                <w:rFonts w:ascii="Times New Roman" w:eastAsiaTheme="minorHAnsi" w:hAnsi="Times New Roman"/>
              </w:rPr>
              <w:t xml:space="preserve">. </w:t>
            </w:r>
            <w:r w:rsidRPr="005F423A">
              <w:rPr>
                <w:rFonts w:ascii="Times New Roman" w:eastAsiaTheme="minorHAnsi" w:hAnsi="Times New Roman"/>
                <w:u w:val="single"/>
              </w:rPr>
              <w:t>Nie określono także źródła finansowania wydatku (w przypadku CEIDG</w:t>
            </w:r>
            <w:r w:rsidRPr="000F4E41">
              <w:rPr>
                <w:rFonts w:ascii="Times New Roman" w:eastAsiaTheme="minorHAnsi" w:hAnsi="Times New Roman"/>
              </w:rPr>
              <w:t xml:space="preserve">), </w:t>
            </w:r>
            <w:r w:rsidRPr="000F4E41">
              <w:rPr>
                <w:rFonts w:ascii="Times New Roman" w:hAnsi="Times New Roman"/>
              </w:rPr>
              <w:t>w przypadku REGON wskazano część 58 GUS, dział 750, 720 rozdział 75001, 72001</w:t>
            </w:r>
            <w:r w:rsidRPr="000F4E41">
              <w:rPr>
                <w:rFonts w:ascii="Times New Roman" w:eastAsiaTheme="minorHAnsi" w:hAnsi="Times New Roman"/>
              </w:rPr>
              <w:t xml:space="preserve">. </w:t>
            </w:r>
            <w:r w:rsidRPr="005F423A">
              <w:rPr>
                <w:rFonts w:ascii="Times New Roman" w:hAnsi="Times New Roman"/>
                <w:u w:val="single"/>
              </w:rPr>
              <w:t xml:space="preserve">Informacje te są niewystarczające i wymagają uzupełniania w zakresie określenia skutków finansowych w podziale na poszczególne lata. </w:t>
            </w:r>
            <w:r w:rsidRPr="005F423A">
              <w:rPr>
                <w:rFonts w:ascii="Times New Roman" w:hAnsi="Times New Roman"/>
                <w:b/>
                <w:u w:val="single"/>
              </w:rPr>
              <w:t>Należy także uzupełnić o wskazanie, że ww. planowane wydatki nie będą stanowiły podstawy do ubiegania się o dodatkowe środki finansowe z budżetu państwa na te cele, zarówno w roku wejścia w życie proponowanych regulacji jak i w latach następnych.</w:t>
            </w:r>
            <w:r w:rsidRPr="005F423A">
              <w:rPr>
                <w:rFonts w:ascii="Times New Roman" w:hAnsi="Times New Roman"/>
                <w:u w:val="single"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 xml:space="preserve">Dodatkowo należy mieć na uwadze, że w ustawie budżetowej na rok 2023 zaplanowane zostały dla cz. 20 – Gospodarka dodatkowe środki na koszty utrzymania i rozwoju produktów powstałych w wyniku realizacji projektów finansowanych i współfinansowanych ze środków UE – kolejne funkcjonalności CEIDG w wys. 6.754 tys. zł. Natomiast w ustawie budżetowej na rok 2024 dodatkowo zaplanowane zostały środki dla pracowników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MRiT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 obsługujących portal CEIDG w wys. 5.250 tys. zł. W związku z powyższym, projektowane zmiany w systemie CEIDG, powinny zostać sfinansowane w ramach limitu wydatków cz. 20 – Gospodarka, w tym na zadanie utrzymanie i rozwój Platformy Elektronicznego Fakturowania, Punktu Informacji dla Przedsiębiorcy (biznes.gov.pl) oraz CEIDG.</w:t>
            </w:r>
          </w:p>
          <w:p w14:paraId="586DD4A9" w14:textId="77777777" w:rsidR="00A66C63" w:rsidRPr="000F4E41" w:rsidRDefault="00A66C63" w:rsidP="007214C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Informuję, że </w:t>
            </w:r>
            <w:r w:rsidRPr="000F4E41">
              <w:rPr>
                <w:rFonts w:ascii="Times New Roman" w:hAnsi="Times New Roman"/>
                <w:b/>
              </w:rPr>
              <w:t>realizacja wszelkich nowych zadań powinna odbywać się w ramach dotychczasowych środków planowanych w budżetach dysponentów</w:t>
            </w:r>
            <w:r w:rsidRPr="000F4E41">
              <w:rPr>
                <w:rFonts w:ascii="Times New Roman" w:eastAsiaTheme="minorHAnsi" w:hAnsi="Times New Roman"/>
              </w:rPr>
              <w:t xml:space="preserve">, nie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powinna powodować dodatkowych skutków dla budżetu państwa – zwłaszcza w przypadku planowanych wydatków na zwiększenie stanu etatowego jednostek. Należy mieć na uwadze, że wynagrodzenia stanowią szczególny rodzaj wydatków, które nie tylko determinują poziom kosztów w danym roku, ale także wpływają na ich wysokość również w kolejnych latach (jako skutki przechodzące), a także mogą determinować inne wydatki (tj. tytuły, z którymi pozostają powiązane).”</w:t>
            </w:r>
          </w:p>
          <w:p w14:paraId="088434D5" w14:textId="77777777" w:rsidR="00A66C63" w:rsidRPr="000F4E41" w:rsidRDefault="00A66C63" w:rsidP="007214C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Projekt ustawy proponuje nałożenie dodatkowych zadań regulowanych przez ustawę Prawo Geodezyjne i Kartograficzne, </w:t>
            </w:r>
            <w:r w:rsidRPr="000F4E41">
              <w:rPr>
                <w:rFonts w:ascii="Times New Roman" w:hAnsi="Times New Roman"/>
                <w:b/>
              </w:rPr>
              <w:t xml:space="preserve">natomiast z przedłożonego OSR nie wynika jednoznacznie czy projektowane zmiany związane z przekazywaniem dodatkowych informacji przez ww. organy wiązać się będą z dodatkowymi kosztami </w:t>
            </w:r>
            <w:r w:rsidRPr="000F4E41">
              <w:rPr>
                <w:rFonts w:ascii="Times New Roman" w:eastAsiaTheme="minorHAnsi" w:hAnsi="Times New Roman"/>
              </w:rPr>
              <w:t>np. związanymi z przekształceniem systemów teleinformatycznych. W związku z tym w pkt 6 OSR należy wskazać odpowiednią informację w zakresie skutków finansowych przedmiotowych regulacji.</w:t>
            </w:r>
          </w:p>
          <w:p w14:paraId="52EB9643" w14:textId="1ABCA884" w:rsidR="00A66C63" w:rsidRPr="000F4E41" w:rsidRDefault="00A66C63" w:rsidP="007214C3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Ponadto należy podkreślić, iż wejście w życie projektowanych regulacji </w:t>
            </w:r>
            <w:r w:rsidRPr="000F4E41">
              <w:rPr>
                <w:rFonts w:ascii="Times New Roman" w:hAnsi="Times New Roman"/>
                <w:b/>
              </w:rPr>
              <w:t>powinno zostać sfinansowane w ramach limitu wydatków corocznie ustalanego w ustawie budżetowej dla poszczególnych dysponentów</w:t>
            </w:r>
            <w:r w:rsidRPr="000F4E41">
              <w:rPr>
                <w:rFonts w:ascii="Times New Roman" w:eastAsiaTheme="minorHAnsi" w:hAnsi="Times New Roman"/>
              </w:rPr>
              <w:t xml:space="preserve"> części budżetowych i nie powinno stanowić podstawy do ubiegania się o dodatkowe środki z budżetu państwa na ten cel.</w:t>
            </w:r>
          </w:p>
        </w:tc>
        <w:tc>
          <w:tcPr>
            <w:tcW w:w="5103" w:type="dxa"/>
          </w:tcPr>
          <w:p w14:paraId="292CF5EE" w14:textId="3C33011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lastRenderedPageBreak/>
              <w:t>Odnośnie kosztów rejestru REGON – informacja zosta</w:t>
            </w:r>
            <w:r w:rsidR="005101D7" w:rsidRPr="000F4E41">
              <w:rPr>
                <w:rFonts w:ascii="Times New Roman" w:hAnsi="Times New Roman"/>
              </w:rPr>
              <w:t>ła</w:t>
            </w:r>
            <w:r w:rsidRPr="000F4E41">
              <w:rPr>
                <w:rFonts w:ascii="Times New Roman" w:hAnsi="Times New Roman"/>
              </w:rPr>
              <w:t xml:space="preserve"> uzupełniona. </w:t>
            </w:r>
          </w:p>
          <w:p w14:paraId="4E656685" w14:textId="3FFAA879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F157F69" w14:textId="56BDE775" w:rsidR="00A66C63" w:rsidRPr="00505D38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5D38">
              <w:rPr>
                <w:rFonts w:ascii="Times New Roman" w:hAnsi="Times New Roman"/>
              </w:rPr>
              <w:t>Ad. 1</w:t>
            </w:r>
          </w:p>
          <w:p w14:paraId="22FAEEE0" w14:textId="0BBDA321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Konieczność pozyskania dodatkowych źródeł finansowania, wskazana w części </w:t>
            </w:r>
            <w:r w:rsidRPr="000F4E41">
              <w:rPr>
                <w:rFonts w:ascii="Times New Roman" w:hAnsi="Times New Roman"/>
                <w:i/>
              </w:rPr>
              <w:t>Dodatkowe informacje</w:t>
            </w:r>
            <w:r w:rsidRPr="000F4E41">
              <w:rPr>
                <w:rFonts w:ascii="Times New Roman" w:hAnsi="Times New Roman"/>
              </w:rPr>
              <w:t xml:space="preserve"> dotyczy</w:t>
            </w:r>
            <w:r w:rsidR="005101D7" w:rsidRPr="000F4E41">
              <w:rPr>
                <w:rFonts w:ascii="Times New Roman" w:hAnsi="Times New Roman"/>
              </w:rPr>
              <w:t>ła</w:t>
            </w:r>
            <w:r w:rsidRPr="000F4E41">
              <w:rPr>
                <w:rFonts w:ascii="Times New Roman" w:hAnsi="Times New Roman"/>
              </w:rPr>
              <w:t xml:space="preserve"> zwiększenia etatowego w sądach powszechnych wynikającego z przyjętych regulacji w zakresie </w:t>
            </w:r>
            <w:r w:rsidR="005101D7" w:rsidRPr="000F4E41">
              <w:rPr>
                <w:rFonts w:ascii="Times New Roman" w:hAnsi="Times New Roman"/>
              </w:rPr>
              <w:t>związanym</w:t>
            </w:r>
            <w:r w:rsidRPr="000F4E41">
              <w:rPr>
                <w:rFonts w:ascii="Times New Roman" w:hAnsi="Times New Roman"/>
              </w:rPr>
              <w:t xml:space="preserve"> z przeklasyfikowaniem podmiotów</w:t>
            </w:r>
            <w:r w:rsidR="005101D7" w:rsidRPr="000F4E41">
              <w:rPr>
                <w:rFonts w:ascii="Times New Roman" w:hAnsi="Times New Roman"/>
              </w:rPr>
              <w:t xml:space="preserve"> wg PKD</w:t>
            </w:r>
            <w:r w:rsidRPr="000F4E41">
              <w:rPr>
                <w:rFonts w:ascii="Times New Roman" w:hAnsi="Times New Roman"/>
              </w:rPr>
              <w:t xml:space="preserve"> w KRS. Wydatki te nie dotyczą kosztów związanych z modyfikacją systemów teleinformatycznych.</w:t>
            </w:r>
          </w:p>
          <w:p w14:paraId="18A13C08" w14:textId="7E213926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Jednocześnie </w:t>
            </w:r>
            <w:r w:rsidR="00507F3C" w:rsidRPr="000F4E41">
              <w:rPr>
                <w:rFonts w:ascii="Times New Roman" w:hAnsi="Times New Roman"/>
              </w:rPr>
              <w:t xml:space="preserve">w zakresie źródła kosztów związanych z modyfikacją systemów teleinformatycznych </w:t>
            </w:r>
            <w:r w:rsidRPr="000F4E41">
              <w:rPr>
                <w:rFonts w:ascii="Times New Roman" w:hAnsi="Times New Roman"/>
              </w:rPr>
              <w:t xml:space="preserve">zapis w części </w:t>
            </w:r>
            <w:r w:rsidRPr="000F4E41">
              <w:rPr>
                <w:rFonts w:ascii="Times New Roman" w:hAnsi="Times New Roman"/>
                <w:i/>
              </w:rPr>
              <w:t>Dodatkowe informacje</w:t>
            </w:r>
            <w:r w:rsidRPr="000F4E41">
              <w:rPr>
                <w:rFonts w:ascii="Times New Roman" w:hAnsi="Times New Roman"/>
              </w:rPr>
              <w:t xml:space="preserve"> </w:t>
            </w:r>
            <w:r w:rsidR="008B28D7" w:rsidRPr="000F4E41">
              <w:rPr>
                <w:rFonts w:ascii="Times New Roman" w:hAnsi="Times New Roman"/>
              </w:rPr>
              <w:t>otrzyma brzmienie:</w:t>
            </w:r>
          </w:p>
          <w:p w14:paraId="7C88C94F" w14:textId="0F4C9985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0F4E41">
              <w:rPr>
                <w:rFonts w:ascii="Times New Roman" w:hAnsi="Times New Roman"/>
              </w:rPr>
              <w:t xml:space="preserve"> </w:t>
            </w:r>
          </w:p>
          <w:p w14:paraId="236E3D0F" w14:textId="53F9C686" w:rsidR="00A66C63" w:rsidRPr="005F423A" w:rsidRDefault="00507F3C" w:rsidP="007214C3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  <w:r w:rsidRPr="005F423A">
              <w:rPr>
                <w:rFonts w:ascii="Times New Roman" w:hAnsi="Times New Roman"/>
                <w:i/>
              </w:rPr>
              <w:t>„</w:t>
            </w:r>
            <w:r w:rsidR="008B28D7" w:rsidRPr="005F423A">
              <w:rPr>
                <w:rFonts w:ascii="Times New Roman" w:hAnsi="Times New Roman"/>
                <w:i/>
              </w:rPr>
              <w:t xml:space="preserve">Źródłem finansowania kosztów związanych z modyfikacją systemów teleinformatycznych służących do prowadzenia rejestrów sądowych, wynikającą ze zmian wprowadzonych w projektowanej ustawie (obejmującą integrację EKW ze słownikiem TERYT oraz modyfikację w zakresie KRS) </w:t>
            </w:r>
            <w:r w:rsidR="008B28D7" w:rsidRPr="005F423A">
              <w:rPr>
                <w:rFonts w:ascii="Times New Roman" w:hAnsi="Times New Roman"/>
                <w:i/>
                <w:color w:val="000000"/>
              </w:rPr>
              <w:t>będzie część 15 budżetu państwa, dział 755, rozdział 75502 oraz część 37 budżetu państwa, dział 755, rozdział 75501. Koszty te nie będą stanowiły podstawy do ubiegania się o dodatkowe środki finansowe z budżetu państwa na ten cel zarówno w roku wejścia w życie proponowanych regulacji jak i w latach następnych (w tab. pkt 6 OSR w 2025 r. przedstawione zostały maksymalne wydatki związane ze zmianami teleinformatycznymi).</w:t>
            </w:r>
            <w:r w:rsidRPr="005F423A">
              <w:rPr>
                <w:rFonts w:ascii="Times New Roman" w:hAnsi="Times New Roman"/>
                <w:i/>
                <w:color w:val="000000"/>
              </w:rPr>
              <w:t>”</w:t>
            </w:r>
          </w:p>
          <w:p w14:paraId="4871E2D4" w14:textId="3041D374" w:rsidR="00507F3C" w:rsidRPr="000F4E41" w:rsidRDefault="00507F3C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F4E41">
              <w:rPr>
                <w:rFonts w:ascii="Times New Roman" w:hAnsi="Times New Roman"/>
                <w:color w:val="000000"/>
              </w:rPr>
              <w:t xml:space="preserve">Dotychczasowe wyjaśnienie w części </w:t>
            </w:r>
            <w:r w:rsidRPr="005F423A">
              <w:rPr>
                <w:rFonts w:ascii="Times New Roman" w:hAnsi="Times New Roman"/>
                <w:i/>
                <w:color w:val="000000"/>
              </w:rPr>
              <w:t>Dodatkowe informacje</w:t>
            </w:r>
            <w:r w:rsidRPr="000F4E41">
              <w:rPr>
                <w:rFonts w:ascii="Times New Roman" w:hAnsi="Times New Roman"/>
                <w:color w:val="000000"/>
              </w:rPr>
              <w:t xml:space="preserve"> o treści „</w:t>
            </w:r>
            <w:r w:rsidRPr="005F423A">
              <w:rPr>
                <w:rFonts w:ascii="Times New Roman" w:hAnsi="Times New Roman"/>
                <w:i/>
                <w:color w:val="000000"/>
              </w:rPr>
              <w:t>Źródłem finansowania modyfikacji będzie najprawdopodobniej część 15 budżetu państwa, dział 755, rozdział 75502 oraz część 37 budżetu państwa, dział 755, rozdział 75501 i nie będą stanowiły podstawy do ubiegania się o dodatkowe środki finansowe z budżetu państwa na ten cel zarówno w roku wejścia w życie proponowanych regulacji jak i w latach następnych.</w:t>
            </w:r>
            <w:r w:rsidRPr="005F423A">
              <w:rPr>
                <w:rFonts w:ascii="Times New Roman" w:hAnsi="Times New Roman"/>
                <w:color w:val="000000"/>
              </w:rPr>
              <w:t>” z</w:t>
            </w:r>
            <w:r w:rsidRPr="000F4E41">
              <w:rPr>
                <w:rFonts w:ascii="Times New Roman" w:hAnsi="Times New Roman"/>
                <w:color w:val="000000"/>
              </w:rPr>
              <w:t>ostanie zastąpione następującą treścią:</w:t>
            </w:r>
          </w:p>
          <w:p w14:paraId="313D1C9B" w14:textId="77777777" w:rsidR="00507F3C" w:rsidRPr="005F423A" w:rsidRDefault="00507F3C" w:rsidP="005F423A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</w:rPr>
            </w:pPr>
            <w:r w:rsidRPr="005F423A">
              <w:rPr>
                <w:rFonts w:ascii="Times New Roman" w:hAnsi="Times New Roman"/>
                <w:i/>
                <w:color w:val="000000"/>
              </w:rPr>
              <w:t xml:space="preserve">Zakres niezbędnych zmian w systemie teleinformatycznym KRS zostanie sfinansowany </w:t>
            </w:r>
            <w:r w:rsidRPr="005F423A">
              <w:rPr>
                <w:rFonts w:ascii="Times New Roman" w:hAnsi="Times New Roman"/>
                <w:i/>
                <w:color w:val="000000"/>
              </w:rPr>
              <w:br/>
              <w:t>z budżetu państwa w ramach środków finansowych Ministerstwa Sprawiedliwości. Koszty te zostały oszacowane w maksymalnej wysokości na 1 650 000 zł.</w:t>
            </w:r>
          </w:p>
          <w:p w14:paraId="66FF7D64" w14:textId="77777777" w:rsidR="00507F3C" w:rsidRPr="000F4E41" w:rsidRDefault="00507F3C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50382348" w14:textId="77777777" w:rsidR="008B28D7" w:rsidRPr="000F4E41" w:rsidRDefault="008B28D7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1ADB0E89" w14:textId="77777777" w:rsidR="00505D38" w:rsidRDefault="007359D0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F4E41">
              <w:rPr>
                <w:rFonts w:ascii="Times New Roman" w:hAnsi="Times New Roman"/>
                <w:color w:val="000000"/>
              </w:rPr>
              <w:t>Ad 2</w:t>
            </w:r>
            <w:r w:rsidR="00505D38">
              <w:rPr>
                <w:rFonts w:ascii="Times New Roman" w:hAnsi="Times New Roman"/>
                <w:color w:val="000000"/>
              </w:rPr>
              <w:t>.</w:t>
            </w:r>
          </w:p>
          <w:p w14:paraId="55192F59" w14:textId="775923DB" w:rsidR="007359D0" w:rsidRPr="000F4E41" w:rsidRDefault="00505D38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Vi</w:t>
            </w:r>
            <w:r w:rsidR="007359D0" w:rsidRPr="000F4E41">
              <w:rPr>
                <w:rFonts w:ascii="Times New Roman" w:hAnsi="Times New Roman"/>
                <w:color w:val="000000"/>
              </w:rPr>
              <w:t xml:space="preserve">de odniesienie do uwagi nr </w:t>
            </w:r>
            <w:r w:rsidR="00282EA6">
              <w:rPr>
                <w:rFonts w:ascii="Times New Roman" w:hAnsi="Times New Roman"/>
                <w:color w:val="000000"/>
              </w:rPr>
              <w:t>42</w:t>
            </w:r>
            <w:r w:rsidR="00E268CA">
              <w:rPr>
                <w:rFonts w:ascii="Times New Roman" w:hAnsi="Times New Roman"/>
                <w:color w:val="000000"/>
              </w:rPr>
              <w:t>.</w:t>
            </w:r>
          </w:p>
          <w:p w14:paraId="77189A1C" w14:textId="77777777" w:rsidR="007359D0" w:rsidRPr="000F4E41" w:rsidRDefault="007359D0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43202A1" w14:textId="46665EC6" w:rsidR="00C663E5" w:rsidRPr="000F4E41" w:rsidRDefault="00C663E5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F4E41">
              <w:rPr>
                <w:rFonts w:ascii="Times New Roman" w:hAnsi="Times New Roman"/>
                <w:color w:val="000000"/>
              </w:rPr>
              <w:t>Ad 3</w:t>
            </w:r>
            <w:r w:rsidR="00505D38">
              <w:rPr>
                <w:rFonts w:ascii="Times New Roman" w:hAnsi="Times New Roman"/>
                <w:color w:val="000000"/>
              </w:rPr>
              <w:t>.</w:t>
            </w:r>
          </w:p>
          <w:p w14:paraId="0960E35E" w14:textId="75449A88" w:rsidR="00C663E5" w:rsidRPr="000F4E41" w:rsidRDefault="00002977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F4E41">
              <w:rPr>
                <w:rFonts w:ascii="Times New Roman" w:hAnsi="Times New Roman"/>
                <w:color w:val="000000"/>
              </w:rPr>
              <w:lastRenderedPageBreak/>
              <w:t>W</w:t>
            </w:r>
            <w:r w:rsidR="00C663E5" w:rsidRPr="000F4E41">
              <w:rPr>
                <w:rFonts w:ascii="Times New Roman" w:hAnsi="Times New Roman"/>
                <w:color w:val="000000"/>
              </w:rPr>
              <w:t xml:space="preserve"> odniesieniu do kosztów </w:t>
            </w:r>
            <w:proofErr w:type="spellStart"/>
            <w:r w:rsidR="00C663E5" w:rsidRPr="000F4E41">
              <w:rPr>
                <w:rFonts w:ascii="Times New Roman" w:hAnsi="Times New Roman"/>
                <w:color w:val="000000"/>
              </w:rPr>
              <w:t>MRiT</w:t>
            </w:r>
            <w:proofErr w:type="spellEnd"/>
            <w:r w:rsidR="00C663E5" w:rsidRPr="000F4E41">
              <w:rPr>
                <w:rFonts w:ascii="Times New Roman" w:hAnsi="Times New Roman"/>
                <w:color w:val="000000"/>
              </w:rPr>
              <w:t xml:space="preserve"> przywołanych w pkt 6 OSR, </w:t>
            </w:r>
            <w:proofErr w:type="spellStart"/>
            <w:r w:rsidR="00C663E5" w:rsidRPr="000F4E41">
              <w:rPr>
                <w:rFonts w:ascii="Times New Roman" w:hAnsi="Times New Roman"/>
                <w:color w:val="000000"/>
              </w:rPr>
              <w:t>MRiT</w:t>
            </w:r>
            <w:proofErr w:type="spellEnd"/>
            <w:r w:rsidR="00C663E5" w:rsidRPr="000F4E41">
              <w:rPr>
                <w:rFonts w:ascii="Times New Roman" w:hAnsi="Times New Roman"/>
                <w:color w:val="000000"/>
              </w:rPr>
              <w:t xml:space="preserve"> </w:t>
            </w:r>
            <w:r w:rsidR="00FF6091" w:rsidRPr="000F4E41">
              <w:rPr>
                <w:rFonts w:ascii="Times New Roman" w:hAnsi="Times New Roman"/>
                <w:color w:val="000000"/>
              </w:rPr>
              <w:t>zweryfikowało</w:t>
            </w:r>
            <w:r w:rsidR="00C663E5" w:rsidRPr="000F4E41">
              <w:rPr>
                <w:rFonts w:ascii="Times New Roman" w:hAnsi="Times New Roman"/>
                <w:color w:val="000000"/>
              </w:rPr>
              <w:t xml:space="preserve"> koszty wdrożenia zmian w systemach – rejestr CEIDG z hurtownią danych oraz biznes.gov.pl – </w:t>
            </w:r>
            <w:r w:rsidR="00FF6091" w:rsidRPr="000F4E41">
              <w:rPr>
                <w:rFonts w:ascii="Times New Roman" w:hAnsi="Times New Roman"/>
                <w:color w:val="000000"/>
              </w:rPr>
              <w:t xml:space="preserve">szacując je </w:t>
            </w:r>
            <w:r w:rsidR="00C663E5" w:rsidRPr="000F4E41">
              <w:rPr>
                <w:rFonts w:ascii="Times New Roman" w:hAnsi="Times New Roman"/>
                <w:color w:val="000000"/>
              </w:rPr>
              <w:t>na poziomie ok. 940 tys. zł.</w:t>
            </w:r>
          </w:p>
          <w:p w14:paraId="05BF7432" w14:textId="77777777" w:rsidR="00C663E5" w:rsidRPr="000F4E41" w:rsidRDefault="00C663E5" w:rsidP="007214C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3EB4A27" w14:textId="5609E192" w:rsidR="00A66C63" w:rsidRPr="00505D38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505D38">
              <w:rPr>
                <w:rFonts w:ascii="Times New Roman" w:hAnsi="Times New Roman"/>
              </w:rPr>
              <w:t>A</w:t>
            </w:r>
            <w:r w:rsidR="00505D38">
              <w:rPr>
                <w:rFonts w:ascii="Times New Roman" w:hAnsi="Times New Roman"/>
              </w:rPr>
              <w:t xml:space="preserve">d </w:t>
            </w:r>
            <w:r w:rsidRPr="00505D38">
              <w:rPr>
                <w:rFonts w:ascii="Times New Roman" w:hAnsi="Times New Roman"/>
              </w:rPr>
              <w:t>5</w:t>
            </w:r>
            <w:r w:rsidR="00505D38">
              <w:rPr>
                <w:rFonts w:ascii="Times New Roman" w:hAnsi="Times New Roman"/>
              </w:rPr>
              <w:t>.</w:t>
            </w:r>
          </w:p>
          <w:p w14:paraId="7488743C" w14:textId="439E81BE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Zadania przewidziane w projekcie ustawy do realizacji przez starostów nie są zadaniami dodatkowymi, są one już aktualnie realizowane na podstawie rozporządzenia w sprawie rejestru TERYT. Biorąc pod uwagę zgłoszone wątpliwości, dotychczasowe wyjaśnienie zostanie uzupełnione dodatkowo o informację w zakresie zmian wprowadzanych w przepisach </w:t>
            </w:r>
            <w:r w:rsidR="00DB49DA">
              <w:rPr>
                <w:rFonts w:ascii="Times New Roman" w:hAnsi="Times New Roman"/>
              </w:rPr>
              <w:t xml:space="preserve">ustawy – </w:t>
            </w:r>
            <w:r w:rsidRPr="000F4E41">
              <w:rPr>
                <w:rFonts w:ascii="Times New Roman" w:hAnsi="Times New Roman"/>
              </w:rPr>
              <w:t>Prawo geodezyjne i kartograficzne.</w:t>
            </w:r>
          </w:p>
          <w:p w14:paraId="31E0193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D34DAF3" w14:textId="6A915F51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Zaproponowano doprecyzowanie treści, uwzględniając zmiany wynikające</w:t>
            </w:r>
            <w:r w:rsidR="00C1018B">
              <w:rPr>
                <w:rFonts w:ascii="Times New Roman" w:hAnsi="Times New Roman"/>
              </w:rPr>
              <w:t xml:space="preserve"> z </w:t>
            </w:r>
            <w:r w:rsidRPr="000F4E41">
              <w:rPr>
                <w:rFonts w:ascii="Times New Roman" w:hAnsi="Times New Roman"/>
              </w:rPr>
              <w:t>nowego brzmienia art. 3 pkt. 2 projektu ustawy. Propozycja uzupełnienia:</w:t>
            </w:r>
          </w:p>
          <w:p w14:paraId="347D5AAD" w14:textId="078B9E53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 xml:space="preserve">„Zmiany w części dotyczącej rejestru TERYT </w:t>
            </w:r>
            <w:r w:rsidR="009A20AB" w:rsidRPr="000F4E41">
              <w:rPr>
                <w:rFonts w:ascii="Times New Roman" w:hAnsi="Times New Roman"/>
                <w:i/>
              </w:rPr>
              <w:t xml:space="preserve">obejmujące </w:t>
            </w:r>
            <w:r w:rsidRPr="000F4E41">
              <w:rPr>
                <w:rFonts w:ascii="Times New Roman" w:hAnsi="Times New Roman"/>
                <w:i/>
              </w:rPr>
              <w:t xml:space="preserve">przepisy nakładające na powiatowych inspektorów nadzoru budowlanego obowiązek przekazywania elektronicznych wykazów oddanych do użytku budynków i mieszkań oraz ich ubytków, </w:t>
            </w:r>
            <w:r w:rsidR="008C4AC6" w:rsidRPr="000F4E41">
              <w:rPr>
                <w:rFonts w:ascii="Times New Roman" w:hAnsi="Times New Roman"/>
                <w:i/>
              </w:rPr>
              <w:t>przepisy</w:t>
            </w:r>
            <w:r w:rsidR="003E6278" w:rsidRPr="000F4E41">
              <w:rPr>
                <w:rFonts w:ascii="Times New Roman" w:hAnsi="Times New Roman"/>
                <w:i/>
              </w:rPr>
              <w:t xml:space="preserve"> nakładające na wójtów (burmistrzów, prezydentów miast) obowiązek przekazywania dla potrzeb rejestru TERYT informacji o zmianach w nazewnictwie ulic i numeracji porządkowej budynków oraz zestawień danych dotyczących obszarów przekazywanych w związku z dokonaną zmianą w podziale terytorialnym, </w:t>
            </w:r>
            <w:r w:rsidRPr="000F4E41">
              <w:rPr>
                <w:rFonts w:ascii="Times New Roman" w:hAnsi="Times New Roman"/>
                <w:i/>
              </w:rPr>
              <w:t>a także zmiany w ustawie Prawo geodezyjne i kartograficzne nakładające na starostów</w:t>
            </w:r>
            <w:r w:rsidR="003E6278" w:rsidRPr="000F4E41">
              <w:rPr>
                <w:rFonts w:ascii="Times New Roman" w:hAnsi="Times New Roman"/>
                <w:i/>
              </w:rPr>
              <w:t xml:space="preserve"> </w:t>
            </w:r>
            <w:r w:rsidRPr="000F4E41">
              <w:rPr>
                <w:rFonts w:ascii="Times New Roman" w:hAnsi="Times New Roman"/>
                <w:i/>
              </w:rPr>
              <w:t xml:space="preserve">obowiązek przekazywania dla potrzeb rejestru TERYT informacji o zmianach dokonanych </w:t>
            </w:r>
            <w:r w:rsidR="005D5D06" w:rsidRPr="000F4E41">
              <w:rPr>
                <w:rFonts w:ascii="Times New Roman" w:hAnsi="Times New Roman"/>
                <w:i/>
              </w:rPr>
              <w:t xml:space="preserve">w </w:t>
            </w:r>
            <w:r w:rsidR="008C4AC6" w:rsidRPr="000F4E41">
              <w:rPr>
                <w:rFonts w:ascii="Times New Roman" w:hAnsi="Times New Roman"/>
                <w:i/>
              </w:rPr>
              <w:t>numeracji i przebiegu granic obrębów ewidencyjnych</w:t>
            </w:r>
            <w:r w:rsidRPr="000F4E41">
              <w:rPr>
                <w:rFonts w:ascii="Times New Roman" w:hAnsi="Times New Roman"/>
                <w:i/>
              </w:rPr>
              <w:t xml:space="preserve">, nie spowodują powstania dodatkowych obowiązków ponad te, które są już obecnie określone w ustawie z dnia 29 czerwca 1995 r. o statystyce publicznej oraz w rozporządzeniu w sprawie rejestru TERYT i nie wygenerują dodatkowych kosztów związanych z ich realizacją, w tym nie będą generowały kosztów </w:t>
            </w:r>
            <w:r w:rsidRPr="000F4E41">
              <w:rPr>
                <w:rFonts w:ascii="Times New Roman" w:hAnsi="Times New Roman"/>
                <w:i/>
              </w:rPr>
              <w:lastRenderedPageBreak/>
              <w:t>związanych z przekształceniem systemów teleinformatycznych.</w:t>
            </w:r>
            <w:r w:rsidRPr="000F4E41">
              <w:rPr>
                <w:rFonts w:ascii="Times New Roman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hAnsi="Times New Roman"/>
                <w:i/>
              </w:rPr>
              <w:t xml:space="preserve">Projektowane zmiany jedynie doprecyzowują i porządkują regulacje zawarte w tych aktach. </w:t>
            </w:r>
            <w:r w:rsidR="007413D4" w:rsidRPr="005F423A">
              <w:rPr>
                <w:rFonts w:ascii="Times New Roman" w:hAnsi="Times New Roman"/>
                <w:i/>
              </w:rPr>
              <w:t>Dostosowanie rejestru TERYT do zmian określonych w projekcie ustawy będzie skutkowało koniecznością dostosowania systemów informatycznych do prowadzenia i udostępniania danych z rejestru do potrzeb oznaczania zmian o jednoznacznym charakterze. Przewidywane koszty  tego działania szacowane są na ok. 27 tys. zł (400 godzin pomnożone przez stawkę godzinową 66 zł). Działania te zostaną sfinansowane w ramach części budżetowej,  której dysponentem jest Prezes Głównego Urzędu Statystycznego i zostaną zrealizowane w 2025 r.”</w:t>
            </w:r>
            <w:r w:rsidR="007413D4" w:rsidRPr="005F423A">
              <w:rPr>
                <w:rFonts w:ascii="Times New Roman" w:hAnsi="Times New Roman"/>
              </w:rPr>
              <w:t xml:space="preserve"> </w:t>
            </w:r>
          </w:p>
          <w:p w14:paraId="1E992AFA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  <w:p w14:paraId="58F2D16D" w14:textId="1A406B0A" w:rsidR="00A66C63" w:rsidRPr="00DB49DA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DB49DA">
              <w:rPr>
                <w:rFonts w:ascii="Times New Roman" w:hAnsi="Times New Roman"/>
              </w:rPr>
              <w:t>Ad. 6</w:t>
            </w:r>
          </w:p>
          <w:p w14:paraId="56C3E268" w14:textId="7EF18CB4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Pkt. 6 OSR zostanie uzupełniony o następującą informację:</w:t>
            </w:r>
          </w:p>
          <w:p w14:paraId="19DA2510" w14:textId="0A8B7A9B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  <w:r w:rsidRPr="000F4E41">
              <w:rPr>
                <w:rFonts w:ascii="Times New Roman" w:hAnsi="Times New Roman"/>
                <w:i/>
              </w:rPr>
              <w:t>„Wydatki planowane w ramach projektowanych regulacji</w:t>
            </w:r>
            <w:r w:rsidR="005101D7" w:rsidRPr="000F4E41">
              <w:rPr>
                <w:rFonts w:ascii="Times New Roman" w:hAnsi="Times New Roman"/>
                <w:i/>
              </w:rPr>
              <w:t xml:space="preserve"> </w:t>
            </w:r>
            <w:r w:rsidRPr="000F4E41">
              <w:rPr>
                <w:rFonts w:ascii="Times New Roman" w:hAnsi="Times New Roman"/>
                <w:i/>
              </w:rPr>
              <w:t>zostaną sfinansowane w ramach limitu wydatków corocznie ustalanych w ustawie budżetowej dla poszczególnych dysponentów części budżetowych i nie będą stanowić podstawy do ubiegania się o dodatkowe środki z budżetu państwa na ten cel, zarówno w roku wejścia w życie proponowanych regulacji, jak i w latach następnych.”</w:t>
            </w:r>
          </w:p>
        </w:tc>
      </w:tr>
      <w:tr w:rsidR="00A66C63" w:rsidRPr="000F4E41" w14:paraId="77E73E40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24EA27A3" w14:textId="6628C629" w:rsidR="00A66C63" w:rsidRPr="000F4E41" w:rsidRDefault="00E268C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</w:t>
            </w:r>
            <w:r w:rsidR="00C1018B">
              <w:rPr>
                <w:rFonts w:ascii="Times New Roman" w:hAnsi="Times New Roman"/>
              </w:rPr>
              <w:t>5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45FF7174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73B055CA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6</w:t>
            </w:r>
          </w:p>
        </w:tc>
        <w:tc>
          <w:tcPr>
            <w:tcW w:w="5670" w:type="dxa"/>
            <w:shd w:val="clear" w:color="auto" w:fill="auto"/>
          </w:tcPr>
          <w:p w14:paraId="4ED820BD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hAnsi="Times New Roman"/>
              </w:rPr>
              <w:t>Uwagi do Tabeli (str. 14, 15):</w:t>
            </w:r>
          </w:p>
          <w:p w14:paraId="546CE453" w14:textId="77777777" w:rsidR="00A66C63" w:rsidRPr="000F4E41" w:rsidRDefault="00A66C63" w:rsidP="007214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kalkulacji skutków wpływu projektowanej ustawy na sektor finansów publicznych </w:t>
            </w:r>
            <w:r w:rsidRPr="000F4E41">
              <w:rPr>
                <w:rFonts w:ascii="Times New Roman" w:hAnsi="Times New Roman"/>
                <w:b/>
              </w:rPr>
              <w:t xml:space="preserve">nie wskazano roku, z którego przyjęto poziom bazowy cen i wynagrodzeń </w:t>
            </w:r>
            <w:r w:rsidRPr="000F4E41">
              <w:rPr>
                <w:rFonts w:ascii="Times New Roman" w:eastAsiaTheme="minorHAnsi" w:hAnsi="Times New Roman"/>
              </w:rPr>
              <w:t>na potrzeby przeprowadzonej kalkulacji.</w:t>
            </w:r>
          </w:p>
          <w:p w14:paraId="7080330B" w14:textId="77777777" w:rsidR="00A66C63" w:rsidRPr="000F4E41" w:rsidRDefault="00A66C63" w:rsidP="007214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Należy wskazać oddzielnie skutki finansowe dla poszczególnych jednostek, w tym dla Funduszu Pracy, a także oszacować skutki finansowe dla Funduszu Solidarnościowego. Stosownie do postanowień ustawy budżetowej na rok 2024, wysokość obowiązującej składki na Fundusz Pracy wynosi 1,0% podstawy wymiaru składek na ubezpieczenia emerytalne i rentowe,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z kolei dla Funduszu Solidarnościowego jest to 1,45% podstawy wymiaru składek na ubezpieczenia emerytalne i rentowe.</w:t>
            </w:r>
          </w:p>
          <w:p w14:paraId="0133269C" w14:textId="77777777" w:rsidR="00A66C63" w:rsidRPr="000F4E41" w:rsidRDefault="00A66C63" w:rsidP="007214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Wskazano dodatkowe wpływy dla Funduszu Gwarantowanych Świadczeń Pracowniczych, z uwagi na prognozowane </w:t>
            </w:r>
            <w:r w:rsidRPr="000F4E41">
              <w:rPr>
                <w:rFonts w:ascii="Times New Roman" w:hAnsi="Times New Roman"/>
                <w:b/>
              </w:rPr>
              <w:t>zwiększenie etatów w sądach rejestrowych</w:t>
            </w:r>
            <w:r w:rsidRPr="000F4E41">
              <w:rPr>
                <w:rFonts w:ascii="Times New Roman" w:eastAsiaTheme="minorHAnsi" w:hAnsi="Times New Roman"/>
              </w:rPr>
              <w:t>. Przy czym zaznaczyć należy, iż zgodnie z art. 9 ustawy z dnia 13 lipca 2006 r. o ochronie roszczeń pracowniczych w razie niewypłacalności pracodawcy do opłacania składek od pracowników na FGŚP zobowiązani są tylko przedsiębiorcy określeni w ww. ustawie, w związku z czym jednostki sektora finansów publicznych nie są zobowiązane do opłacania składek na FGŚP.</w:t>
            </w:r>
          </w:p>
          <w:p w14:paraId="225CDAA8" w14:textId="77777777" w:rsidR="00A66C63" w:rsidRPr="000F4E41" w:rsidRDefault="00A66C63" w:rsidP="007214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Zostały uwzględnione tylko wydatki związane z utworzeniem nowych etatów (z wyjątkiem 2026 roku – w tabeli wskazano wydatki BP 18,32 mln zł). </w:t>
            </w:r>
            <w:r w:rsidRPr="000F4E41">
              <w:rPr>
                <w:rFonts w:ascii="Times New Roman" w:hAnsi="Times New Roman"/>
                <w:b/>
              </w:rPr>
              <w:t xml:space="preserve">W zestawieniu powinny być ujęte wszystkie wydatki, również te które mają być pokryte w ramach danej części budżetowej, bez konieczności ubiegania się o dodatkowe środki. </w:t>
            </w:r>
            <w:r w:rsidRPr="000F4E41">
              <w:rPr>
                <w:rFonts w:ascii="Times New Roman" w:eastAsiaTheme="minorHAnsi" w:hAnsi="Times New Roman"/>
              </w:rPr>
              <w:t>Nie jest również do końca jasne, czy koszty finansowe dodatkowego wynagrodzenia rocznego zostały ujęte tylko na rok 2027, czy również na pozostałych latach.</w:t>
            </w:r>
          </w:p>
          <w:p w14:paraId="5F3D2A69" w14:textId="77777777" w:rsidR="00A66C63" w:rsidRPr="000F4E41" w:rsidRDefault="00A66C63" w:rsidP="007214C3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Korekty rachunkowej wymagają obliczenia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Salda ogółem </w:t>
            </w:r>
            <w:r w:rsidRPr="000F4E41">
              <w:rPr>
                <w:rFonts w:ascii="Times New Roman" w:eastAsiaTheme="minorHAnsi" w:hAnsi="Times New Roman"/>
              </w:rPr>
              <w:t xml:space="preserve">w kolumnie nr 2 – saldo - winno </w:t>
            </w:r>
            <w:r w:rsidRPr="000F4E41">
              <w:rPr>
                <w:rFonts w:ascii="Times New Roman" w:hAnsi="Times New Roman"/>
                <w:b/>
              </w:rPr>
              <w:t>być „-9,12”, jest „-9,02”.</w:t>
            </w:r>
          </w:p>
        </w:tc>
        <w:tc>
          <w:tcPr>
            <w:tcW w:w="5103" w:type="dxa"/>
          </w:tcPr>
          <w:p w14:paraId="4890D925" w14:textId="4475B6DB" w:rsidR="00A66C63" w:rsidRPr="005F423A" w:rsidRDefault="007359D0" w:rsidP="005F423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F423A">
              <w:rPr>
                <w:rFonts w:ascii="Times New Roman" w:hAnsi="Times New Roman"/>
                <w:b/>
              </w:rPr>
              <w:lastRenderedPageBreak/>
              <w:t xml:space="preserve">Vide odniesienie do uwagi nr </w:t>
            </w:r>
            <w:r w:rsidR="00282EA6">
              <w:rPr>
                <w:rFonts w:ascii="Times New Roman" w:hAnsi="Times New Roman"/>
                <w:b/>
              </w:rPr>
              <w:t>42</w:t>
            </w:r>
            <w:r w:rsidR="00E268CA">
              <w:rPr>
                <w:rFonts w:ascii="Times New Roman" w:hAnsi="Times New Roman"/>
                <w:b/>
              </w:rPr>
              <w:t>.</w:t>
            </w:r>
          </w:p>
        </w:tc>
      </w:tr>
      <w:tr w:rsidR="00A66C63" w:rsidRPr="000F4E41" w14:paraId="3FFA6E12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7D4C06F8" w14:textId="4D2597C5" w:rsidR="00A66C63" w:rsidRPr="000F4E41" w:rsidRDefault="00E268CA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1018B">
              <w:rPr>
                <w:rFonts w:ascii="Times New Roman" w:hAnsi="Times New Roman"/>
              </w:rPr>
              <w:t>6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8B463AF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6B6119B2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7</w:t>
            </w:r>
          </w:p>
        </w:tc>
        <w:tc>
          <w:tcPr>
            <w:tcW w:w="5670" w:type="dxa"/>
            <w:shd w:val="clear" w:color="auto" w:fill="auto"/>
          </w:tcPr>
          <w:p w14:paraId="0723BBCD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i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analizie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Skutków wpływu na konkurencyjność gospodarki - w ujęciu niepieniężnym dla sektora mikro-, małych i średnich przedsiębiorstw </w:t>
            </w:r>
            <w:r w:rsidRPr="000F4E41">
              <w:rPr>
                <w:rFonts w:ascii="Times New Roman" w:eastAsiaTheme="minorHAnsi" w:hAnsi="Times New Roman"/>
                <w:iCs/>
              </w:rPr>
              <w:t>(str. 17)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 xml:space="preserve"> </w:t>
            </w:r>
            <w:r w:rsidRPr="000F4E41">
              <w:rPr>
                <w:rFonts w:ascii="Times New Roman" w:hAnsi="Times New Roman"/>
                <w:b/>
              </w:rPr>
              <w:t>pominięto kwestię</w:t>
            </w:r>
            <w:r w:rsidRPr="000F4E41">
              <w:rPr>
                <w:rFonts w:ascii="Times New Roman" w:hAnsi="Times New Roman"/>
                <w:b/>
                <w:i/>
              </w:rPr>
              <w:t xml:space="preserve"> </w:t>
            </w:r>
            <w:r w:rsidRPr="000F4E41">
              <w:rPr>
                <w:rFonts w:ascii="Times New Roman" w:hAnsi="Times New Roman"/>
                <w:b/>
              </w:rPr>
              <w:t>brakujących lub nieaktualnych kodów PKD dla ok. 70 tys. wpisów w CEIDG</w:t>
            </w:r>
            <w:r w:rsidRPr="000F4E41">
              <w:rPr>
                <w:rFonts w:ascii="Times New Roman" w:eastAsiaTheme="minorHAnsi" w:hAnsi="Times New Roman"/>
              </w:rPr>
              <w:t>.</w:t>
            </w:r>
          </w:p>
          <w:p w14:paraId="00E85DF3" w14:textId="1E1214A4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„W związku z planowaną na rok 2025 zmianą klasyfikacji konieczne jest uporządkowanie danych wpisanych do CEIDG w tym zakresie”, gdyż </w:t>
            </w:r>
            <w:r w:rsidRPr="000F4E41">
              <w:rPr>
                <w:rFonts w:ascii="Times New Roman" w:hAnsi="Times New Roman"/>
                <w:b/>
              </w:rPr>
              <w:t>założenie, że podmioty, których to dotyczy nie prowadzą aktywnie działalności gospodarczej, jest w naszej opinii błędne</w:t>
            </w:r>
            <w:r w:rsidRPr="000F4E41">
              <w:rPr>
                <w:rFonts w:ascii="Times New Roman" w:eastAsiaTheme="minorHAnsi" w:hAnsi="Times New Roman"/>
              </w:rPr>
              <w:t>. Wskazuje na to</w:t>
            </w:r>
            <w:r w:rsidR="00F44418">
              <w:rPr>
                <w:rFonts w:ascii="Times New Roman" w:eastAsiaTheme="minorHAnsi" w:hAnsi="Times New Roman"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zidentyfikowanie w ramach prac</w:t>
            </w:r>
          </w:p>
          <w:p w14:paraId="6D68E8C6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lastRenderedPageBreak/>
              <w:t xml:space="preserve">prowadzonych przez Departament Analiz Podatkowych MF co najmniej 610 podatników bez wskazanego kodu PKD wśród beneficjentów ulgi na działalność badawczo-rozwojową lub korzystających z preferencyjnego opodatkowania stawką 5% dochodów z kwalifikowalnych praw własności intelektualnej (IP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box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>) w latach 2019-2022.</w:t>
            </w:r>
          </w:p>
        </w:tc>
        <w:tc>
          <w:tcPr>
            <w:tcW w:w="5103" w:type="dxa"/>
          </w:tcPr>
          <w:p w14:paraId="6CB6E84B" w14:textId="3F4310ED" w:rsidR="00A66C63" w:rsidRPr="000F4E41" w:rsidRDefault="00C62FC4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  <w:i/>
              </w:rPr>
              <w:lastRenderedPageBreak/>
              <w:t>V</w:t>
            </w:r>
            <w:r w:rsidR="00A66C63" w:rsidRPr="000F4E41">
              <w:rPr>
                <w:rFonts w:ascii="Times New Roman" w:hAnsi="Times New Roman"/>
                <w:b/>
                <w:i/>
              </w:rPr>
              <w:t>ide</w:t>
            </w:r>
            <w:r w:rsidR="00A66C63" w:rsidRPr="000F4E41">
              <w:rPr>
                <w:rFonts w:ascii="Times New Roman" w:hAnsi="Times New Roman"/>
                <w:b/>
              </w:rPr>
              <w:t xml:space="preserve"> odniesienie do uwagi nr </w:t>
            </w:r>
            <w:r w:rsidR="00282EA6">
              <w:rPr>
                <w:rFonts w:ascii="Times New Roman" w:hAnsi="Times New Roman"/>
                <w:b/>
              </w:rPr>
              <w:t>39</w:t>
            </w:r>
            <w:r w:rsidR="00E268CA">
              <w:rPr>
                <w:rFonts w:ascii="Times New Roman" w:hAnsi="Times New Roman"/>
                <w:b/>
              </w:rPr>
              <w:t>.</w:t>
            </w:r>
          </w:p>
        </w:tc>
      </w:tr>
      <w:tr w:rsidR="00A66C63" w:rsidRPr="000F4E41" w14:paraId="1071ED31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055D86E1" w14:textId="40880EB8" w:rsidR="00A66C63" w:rsidRPr="000F4E41" w:rsidRDefault="00F44418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1018B">
              <w:rPr>
                <w:rFonts w:ascii="Times New Roman" w:hAnsi="Times New Roman"/>
              </w:rPr>
              <w:t>7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700C0D26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1961597A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OSR – pkt 10</w:t>
            </w:r>
          </w:p>
        </w:tc>
        <w:tc>
          <w:tcPr>
            <w:tcW w:w="5670" w:type="dxa"/>
            <w:shd w:val="clear" w:color="auto" w:fill="auto"/>
          </w:tcPr>
          <w:p w14:paraId="46B25BB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 str. 18 proszę </w:t>
            </w:r>
            <w:r w:rsidRPr="000F4E41">
              <w:rPr>
                <w:rFonts w:ascii="Times New Roman" w:hAnsi="Times New Roman"/>
                <w:b/>
              </w:rPr>
              <w:t>rozważyć wpływy projektowanego dokumentu na obszar informatyzacja</w:t>
            </w:r>
            <w:r w:rsidRPr="000F4E41">
              <w:rPr>
                <w:rFonts w:ascii="Times New Roman" w:eastAsiaTheme="minorHAnsi" w:hAnsi="Times New Roman"/>
              </w:rPr>
              <w:t xml:space="preserve"> biorąc pod uwagę przewidziane prace informatyczne w ramach działań opisanych w pkt 11. </w:t>
            </w:r>
            <w:r w:rsidRPr="000F4E41">
              <w:rPr>
                <w:rFonts w:ascii="Times New Roman" w:eastAsiaTheme="minorHAnsi" w:hAnsi="Times New Roman"/>
                <w:i/>
                <w:iCs/>
              </w:rPr>
              <w:t>Planowane wykonanie przepisów aktu prawnego</w:t>
            </w:r>
            <w:r w:rsidRPr="000F4E41">
              <w:rPr>
                <w:rFonts w:ascii="Times New Roman" w:eastAsiaTheme="minorHAnsi" w:hAnsi="Times New Roman"/>
              </w:rPr>
              <w:t>.</w:t>
            </w:r>
          </w:p>
        </w:tc>
        <w:tc>
          <w:tcPr>
            <w:tcW w:w="5103" w:type="dxa"/>
          </w:tcPr>
          <w:p w14:paraId="23EBF498" w14:textId="505A7A1F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29" w:name="_Hlk161641109"/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bookmarkEnd w:id="29"/>
          <w:p w14:paraId="73E5B2A8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</w:p>
          <w:p w14:paraId="1E861227" w14:textId="0F98D01E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Pkt. 1</w:t>
            </w:r>
            <w:r w:rsidR="00BF207E" w:rsidRPr="000F4E41">
              <w:rPr>
                <w:rFonts w:ascii="Times New Roman" w:hAnsi="Times New Roman"/>
              </w:rPr>
              <w:t>0</w:t>
            </w:r>
            <w:r w:rsidRPr="000F4E41">
              <w:rPr>
                <w:rFonts w:ascii="Times New Roman" w:hAnsi="Times New Roman"/>
              </w:rPr>
              <w:t xml:space="preserve"> OSR zosta</w:t>
            </w:r>
            <w:r w:rsidR="005101D7" w:rsidRPr="000F4E41">
              <w:rPr>
                <w:rFonts w:ascii="Times New Roman" w:hAnsi="Times New Roman"/>
              </w:rPr>
              <w:t>ł</w:t>
            </w:r>
            <w:r w:rsidRPr="000F4E41">
              <w:rPr>
                <w:rFonts w:ascii="Times New Roman" w:hAnsi="Times New Roman"/>
              </w:rPr>
              <w:t xml:space="preserve"> uzupełniony o wpływ na obszar „informatyzacja” w następujący sposób:</w:t>
            </w:r>
          </w:p>
          <w:p w14:paraId="54B04E43" w14:textId="5BD5F93F" w:rsidR="00A66C63" w:rsidRPr="000F4E41" w:rsidRDefault="00F31284" w:rsidP="007214C3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0F4E41">
              <w:rPr>
                <w:rFonts w:ascii="Times New Roman" w:hAnsi="Times New Roman"/>
                <w:i/>
                <w:u w:val="single"/>
              </w:rPr>
              <w:t>„</w:t>
            </w:r>
            <w:r w:rsidR="00A66C63" w:rsidRPr="000F4E41">
              <w:rPr>
                <w:rFonts w:ascii="Times New Roman" w:hAnsi="Times New Roman"/>
                <w:i/>
                <w:u w:val="single"/>
              </w:rPr>
              <w:t>W zakresie rejestru REGON:</w:t>
            </w:r>
          </w:p>
          <w:p w14:paraId="0170EC7C" w14:textId="1002C5CA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0F4E41">
              <w:rPr>
                <w:rFonts w:ascii="Times New Roman" w:hAnsi="Times New Roman"/>
                <w:i/>
              </w:rPr>
              <w:t>Zakłada się, że poszerzenie zakresu danych pobieranych elektronicznie i aktualizowanych automatycznie będzie miało pozytywny wpływ na poprawę jakości danych gromadzonych w rejestrze REGON oraz innych bazach i rejestrach korzystających z zasobów rejestru REGON</w:t>
            </w:r>
            <w:r w:rsidR="00DB49DA">
              <w:rPr>
                <w:rFonts w:ascii="Times New Roman" w:hAnsi="Times New Roman"/>
                <w:i/>
              </w:rPr>
              <w:t>.</w:t>
            </w:r>
          </w:p>
          <w:p w14:paraId="15DD3B9B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</w:p>
          <w:p w14:paraId="0969DFF9" w14:textId="5BE25B81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  <w:u w:val="single"/>
              </w:rPr>
            </w:pPr>
            <w:r w:rsidRPr="000F4E41">
              <w:rPr>
                <w:rFonts w:ascii="Times New Roman" w:hAnsi="Times New Roman"/>
                <w:i/>
                <w:u w:val="single"/>
              </w:rPr>
              <w:t>W zakresie rejestru TERYT:</w:t>
            </w:r>
          </w:p>
          <w:p w14:paraId="642D0DBD" w14:textId="1063BD5F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i/>
                <w:lang w:eastAsia="pl-PL"/>
              </w:rPr>
            </w:pPr>
            <w:r w:rsidRPr="000F4E41">
              <w:rPr>
                <w:rFonts w:ascii="Times New Roman" w:hAnsi="Times New Roman"/>
                <w:i/>
              </w:rPr>
              <w:t xml:space="preserve">Zakłada się, że </w:t>
            </w:r>
            <w:r w:rsidRPr="000F4E41">
              <w:rPr>
                <w:rFonts w:ascii="Times New Roman" w:hAnsi="Times New Roman"/>
                <w:i/>
                <w:lang w:eastAsia="pl-PL"/>
              </w:rPr>
              <w:t>rozwiązania projektowane w zakresie rejestru TERYT będą miały pozytywny wpływ na poprawę jakości danych adresowych zgromadzonych w innych rejestrach urzędowych i systemach informacyjnych administracji publicznej. Podtrzymanie obowiązku stosowania identyfikatorów rejestru TERYT przyczyni się do eliminacji błędów powstających przy rejestracji danych dotyczących jednostek podziału terytorialnego, miejscowości i ulic, a doprecyzowanie w ustawie obowiązku ich aktualizacji przyczyni się do utrzymania ich w aktualności. Stosowanie się do projektowanych regulacji stworzy warunki dla skutecznej integracji danych pochodzących z różnych rejestrów urzędowych i systemów informacyjnych administracji publicznej oraz innych źródeł stosujących identyfikatory rejestru TERYT.</w:t>
            </w:r>
          </w:p>
          <w:p w14:paraId="25D8FD16" w14:textId="5D6498D6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 w:rsidRPr="000F4E41">
              <w:rPr>
                <w:rFonts w:ascii="Times New Roman" w:hAnsi="Times New Roman"/>
                <w:i/>
              </w:rPr>
              <w:t xml:space="preserve">Ponadto, projektowane regulacje dotyczące udostępniania danych z rejestru TERYT sankcjonują usługi sieciowe jako formę pozyskiwania danych </w:t>
            </w:r>
            <w:r w:rsidRPr="000F4E41">
              <w:rPr>
                <w:rFonts w:ascii="Times New Roman" w:hAnsi="Times New Roman"/>
                <w:i/>
              </w:rPr>
              <w:lastRenderedPageBreak/>
              <w:t>rejestru TERYT – ten sposób udostępniania zwiększa poziom automatyzacji ich pozyskania.”</w:t>
            </w:r>
            <w:r w:rsidR="00F31284" w:rsidRPr="000F4E41">
              <w:rPr>
                <w:rFonts w:ascii="Times New Roman" w:hAnsi="Times New Roman"/>
                <w:i/>
              </w:rPr>
              <w:t>.</w:t>
            </w:r>
          </w:p>
        </w:tc>
      </w:tr>
      <w:tr w:rsidR="00A66C63" w:rsidRPr="000F4E41" w14:paraId="75F6972F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7DA52D1D" w14:textId="0871A077" w:rsidR="00A66C63" w:rsidRPr="000F4E41" w:rsidRDefault="00F44418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C1018B">
              <w:rPr>
                <w:rFonts w:ascii="Times New Roman" w:hAnsi="Times New Roman"/>
              </w:rPr>
              <w:t>8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44C0BA34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0F4E41">
              <w:rPr>
                <w:rFonts w:ascii="Times New Roman" w:hAnsi="Times New Roman"/>
              </w:rPr>
              <w:t>MRiT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14:paraId="30B442B8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Uwagi ogólne</w:t>
            </w:r>
          </w:p>
        </w:tc>
        <w:tc>
          <w:tcPr>
            <w:tcW w:w="5670" w:type="dxa"/>
            <w:shd w:val="clear" w:color="auto" w:fill="auto"/>
          </w:tcPr>
          <w:p w14:paraId="0E7060EB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Procedowany projekt ustawy związany jest z wejściem w życie we wszystkich krajach UE nowej klasyfikacji działalności gospodarczej od 1 stycznia 2025 r. W związku z tym chciałbym zwrócić uwagę na konieczność jak najszybszego procedowania przedłożonego</w:t>
            </w:r>
          </w:p>
          <w:p w14:paraId="0842C335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projektu. Należy zapewnić wszystkim podmiotom stosującym klasyfikację PKD możliwość sprawnego jej wdrożenia oraz zapoznania się z zachodzącymi w niej zmianami i obowiązkami wynikającymi z tych zmian, w szczególności związanymi z koniecznością aktualizacji danych zawartych w rejestrach.</w:t>
            </w:r>
          </w:p>
          <w:p w14:paraId="044785B3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Podkreślenia wymaga także fakt, że rozporządzenie Rady Ministrów wydane na podstawie art. 40 ust. 2 i 2a projektowanej ustawy o statystyce publicznej także powinno wejść w życie jak najszybciej i zawierać kompletną regulację – zarówno nową klasyfikację PKD jak i „matrycę” wzajemnych relacji i szczegółowych interpretacji (o których mowa w ust. 2c art. 40 projektowanej ustawy), tzw. kody przejścia jednoznaczne i wieloznaczne.</w:t>
            </w:r>
          </w:p>
          <w:p w14:paraId="46E0D56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</w:rPr>
            </w:pP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Niezapewnienie odpowiedniego marginesu czasowego niesie ryzyko, że zobowiązane organy (w tym </w:t>
            </w:r>
            <w:proofErr w:type="spellStart"/>
            <w:r w:rsidRPr="000F4E41">
              <w:rPr>
                <w:rFonts w:ascii="Times New Roman" w:eastAsiaTheme="minorHAnsi" w:hAnsi="Times New Roman"/>
                <w:b/>
                <w:bCs/>
              </w:rPr>
              <w:t>MRiT</w:t>
            </w:r>
            <w:proofErr w:type="spellEnd"/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w zakresie CEIDG) nie będą w stanie wdrożyć w swoich systemach teleinformatycznych rozwiązań umożliwiających przedsiębiorcom dokonanie zmian kodów PKD</w:t>
            </w:r>
            <w:r w:rsidRPr="000F4E41">
              <w:rPr>
                <w:rFonts w:ascii="Times New Roman" w:eastAsiaTheme="minorHAnsi" w:hAnsi="Times New Roman"/>
              </w:rPr>
              <w:t>, w szczególności przygotować i zaimplementować odpowiednich słowników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oraz zasad informowania o stosowanych kodach PKD. Przygotowanie odpowiedniej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informacji dla przedsiębiorców jest szczególnie istotne, także z uwagi na fakt, że projekt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zakłada dwuletni okres przejściowy, w czasie którego będzie można posługiwać się równocześnie „starymi” i „nowymi” kodami PKD (dualizm).</w:t>
            </w:r>
          </w:p>
          <w:p w14:paraId="3A67C528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 związku ze zmianami zaproponowanymi przez Główny Urząd Statystyczny (GUS), zwracam uwagę, że projekt nowelizacji ustawy o statystyce publicznej był już przedmiotem uzgodnień (w tym na spotkaniach roboczych), a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lastRenderedPageBreak/>
              <w:t>MRiT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 przedstawiło gotowe rozwiązania w zakresie CEIDG, które nie znalazły pełnego odzwierciedlenia w</w:t>
            </w:r>
          </w:p>
          <w:p w14:paraId="3A036939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przedłożonym projekcie. Propozycje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MRiT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 bazują na doświadczeniach związanych z poprzednią zmianą klasyfikacji PKD (2007) i mają na celu przyjęcie rozwiązań najmniej obciążających przedsiębiorców wpisanych do CEIDG.</w:t>
            </w:r>
          </w:p>
          <w:p w14:paraId="2FE87372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b/>
                <w:bCs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Pozostałe 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regulacje pozwalające na obsługę procesu przeklasyfikowania na PKD 2025 powinny znaleźć się w projekcie nowelizacji ustawy o statystyce publicznej, nie bezpośrednio w ustawie o Centralnej Ewidencji i Informacji o Działalności Gospodarczej i Punkcie Informacji dla Przedsiębiorcy. </w:t>
            </w:r>
            <w:r w:rsidRPr="000F4E41">
              <w:rPr>
                <w:rFonts w:ascii="Times New Roman" w:eastAsiaTheme="minorHAnsi" w:hAnsi="Times New Roman"/>
              </w:rPr>
              <w:t>Przepisy te będą miały charakter przejściowy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>i epizodyczny, a ich zastosowanie ograniczać się będzie wyłącznie do dokonywania zmian</w:t>
            </w:r>
            <w:r w:rsidRPr="000F4E41">
              <w:rPr>
                <w:rFonts w:ascii="Times New Roman" w:eastAsiaTheme="minorHAnsi" w:hAnsi="Times New Roman"/>
                <w:b/>
                <w:bCs/>
              </w:rPr>
              <w:t xml:space="preserve"> </w:t>
            </w:r>
            <w:r w:rsidRPr="000F4E41">
              <w:rPr>
                <w:rFonts w:ascii="Times New Roman" w:eastAsiaTheme="minorHAnsi" w:hAnsi="Times New Roman"/>
              </w:rPr>
              <w:t xml:space="preserve">oznaczenia kodów PKD. </w:t>
            </w:r>
          </w:p>
          <w:p w14:paraId="03A197B0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Należy podkreślić, że projekt zawiera rozwiązania dla CEIDG, które nie pozwalają na realizację celu przyjętego przez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MRiT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 – jakim jest możliwe pełne przeklasyfikowanie kodów PKD 2007 na PKD 2025 oraz wykreślenie wpisów (historycznych z niepełnymi danymi wpisowymi – brak PKD) w przypadku braku możliwości zmiany wpisu w określonym terminie. Zaproponowane przez GUS regulacje (projektowany art. 21c ustawy o ustawie o Centralnej Ewidencji i Informacji o Działalności Gospodarczej i Punkcie Informacji dla Przedsiębiorcy) wskazują na możliwość dokonania zmian z urzędu (automatycznie) kodów PKD we wpisach w CEIDG na nowe PKD 2025 w oparciu o relacje jednoznaczne (art. 40 ust. 2c pkt 1 projektowanej ustawy).</w:t>
            </w:r>
          </w:p>
          <w:p w14:paraId="6944E20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proofErr w:type="spellStart"/>
            <w:r w:rsidRPr="000F4E41">
              <w:rPr>
                <w:rFonts w:ascii="Times New Roman" w:eastAsiaTheme="minorHAnsi" w:hAnsi="Times New Roman"/>
              </w:rPr>
              <w:t>MRiT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 xml:space="preserve"> stoi na stanowisku, by w pierwszej kolejności nowi przedsiębiorcy – rozpoczynający prowadzenie działalności gospodarczej oraz wszyscy wpisani do CEIDG dokonujący zmian</w:t>
            </w:r>
          </w:p>
          <w:p w14:paraId="12A0DF86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wpisu po 1 stycznia 2025 r. byli zobowiązani do wybrania nowego kodu PKD 2025. System CEIDG będzie każdorazowo, w przypadku wpisów zawierających „stare” kody PKD, żądał uaktualnienia wpisu (wszystkich kodów PKD zawartych we wpisie) i wskazania nowych zgodnych z obowiązującą klasyfikacją kodów PKD. W tym okresie </w:t>
            </w:r>
            <w:r w:rsidRPr="000F4E41">
              <w:rPr>
                <w:rFonts w:ascii="Times New Roman" w:eastAsiaTheme="minorHAnsi" w:hAnsi="Times New Roman"/>
              </w:rPr>
              <w:lastRenderedPageBreak/>
              <w:t>równoczesnego stosowania starej i nowej klasyfikacji (dualizmu), przedsiębiorcy będą samodzielnie dokonywać zmian PKD przy okazji dokonywania aktualizacji wpisu w CEIDG przy zastosowaniu rozporządzenia zawierającego nową klasyfikacje i opracowane przez GUS wzajemne relacje (wieloznaczne i jednoznaczne), a także szczegółowe interpretacje tych relacji.</w:t>
            </w:r>
          </w:p>
          <w:p w14:paraId="40ABC024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Następnie, po upływie okresu dualizmu, w przypadku gdy przedsiębiorca nie dokonał zmiany wpisu samodzielnie w CEIDG, to system CEIDG z urzędu (automatycznie – bez udziału przedsiębiorcy) dokona przeklasyfikowania starych kodów PKD na PKD 2025 również w oparciu o rozporządzenie zawierające nową klasyfikacje i opracowane przez GUS wzajemne relacje (wieloznaczne jednoznaczne), a także szczegółowe interpretacje tych relacji. Wykorzystanie wzajemnych relacji jednoznacznych i wieloznacznych oraz szczegółowych interpretacji tych relacji pozwoli, tam gdzie jest to możliwe, na pełne przeklasyfikowanie kodów PKD we wpisach w CEIDG.</w:t>
            </w:r>
          </w:p>
          <w:p w14:paraId="17F70237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Ostatni etap planowanego wdrożenia nowej klasyfikacji PKD 2025 zakłada wykreślenie wpisów z CEIDG w sytuacji, gdy brak jest kodów PKD we wpisie lub gdy system CEIDG nie ma możliwości automatycznej zmiany kodów PKD (np. kod PKD jest niepełny, składa </w:t>
            </w:r>
          </w:p>
          <w:p w14:paraId="7A1CC959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się z niedozwolonych znaków). Wykreślenie z CEIDG nie pozbawia przedsiębiorcy możliwości ponownego wpisania, w tym wskazując wsteczną datę rozpoczęcia działalności, z aktualnymi danymi do rejestru.</w:t>
            </w:r>
          </w:p>
        </w:tc>
        <w:tc>
          <w:tcPr>
            <w:tcW w:w="5103" w:type="dxa"/>
          </w:tcPr>
          <w:p w14:paraId="722A8A1C" w14:textId="114E35C9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>Uwaga wyjaśniona</w:t>
            </w:r>
          </w:p>
          <w:p w14:paraId="588D37ED" w14:textId="77777777" w:rsidR="00C62FC4" w:rsidRPr="000F4E41" w:rsidRDefault="00C62FC4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950D5B1" w14:textId="61E3978D" w:rsidR="00C62FC4" w:rsidRDefault="00DB49DA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AF52FC">
              <w:rPr>
                <w:rFonts w:ascii="Times New Roman" w:hAnsi="Times New Roman"/>
              </w:rPr>
              <w:t xml:space="preserve">Wzajemne relacje (wieloznaczne i jednoznaczne) </w:t>
            </w:r>
            <w:r>
              <w:rPr>
                <w:rFonts w:ascii="Times New Roman" w:hAnsi="Times New Roman"/>
              </w:rPr>
              <w:t xml:space="preserve">pomiędzy obowiązującą a wprowadzaną lub zmienianą klasyfikacją </w:t>
            </w:r>
            <w:r w:rsidRPr="00AF52FC">
              <w:rPr>
                <w:rFonts w:ascii="Times New Roman" w:hAnsi="Times New Roman"/>
              </w:rPr>
              <w:t xml:space="preserve">wraz ze szczegółowymi interpretacjami wzajemnych relacji wieloznacznych </w:t>
            </w:r>
            <w:r w:rsidRPr="000F4E41">
              <w:rPr>
                <w:rFonts w:ascii="Times New Roman" w:hAnsi="Times New Roman"/>
              </w:rPr>
              <w:t xml:space="preserve">będą częścią rozporządzenia Rady Ministrów, które zostanie wydane na podstawie art. 40 ust. 2 </w:t>
            </w:r>
            <w:r>
              <w:rPr>
                <w:rFonts w:ascii="Times New Roman" w:hAnsi="Times New Roman"/>
              </w:rPr>
              <w:t xml:space="preserve">i 3 </w:t>
            </w:r>
            <w:r w:rsidRPr="000F4E41">
              <w:rPr>
                <w:rFonts w:ascii="Times New Roman" w:hAnsi="Times New Roman"/>
              </w:rPr>
              <w:t>ustawy o statystyce publicznej (w brzmieniu nadanym projektowaną ustawą).</w:t>
            </w:r>
          </w:p>
          <w:p w14:paraId="7339EAAA" w14:textId="77777777" w:rsidR="00DB49DA" w:rsidRPr="000F4E41" w:rsidRDefault="00DB49DA" w:rsidP="007214C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3D656593" w14:textId="7E5551C9" w:rsidR="00A66C63" w:rsidRPr="000F4E41" w:rsidRDefault="00DB49DA" w:rsidP="007214C3">
            <w:pPr>
              <w:spacing w:after="0" w:line="240" w:lineRule="auto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</w:rPr>
              <w:t>P</w:t>
            </w:r>
            <w:r w:rsidRPr="00AF52FC">
              <w:rPr>
                <w:rFonts w:ascii="Times New Roman" w:hAnsi="Times New Roman"/>
              </w:rPr>
              <w:t>rojektowanego obecnie rozporządzeni</w:t>
            </w:r>
            <w:r w:rsidR="001C66F3">
              <w:rPr>
                <w:rFonts w:ascii="Times New Roman" w:hAnsi="Times New Roman"/>
              </w:rPr>
              <w:t xml:space="preserve">e </w:t>
            </w:r>
            <w:r w:rsidRPr="00AF52FC">
              <w:rPr>
                <w:rFonts w:ascii="Times New Roman" w:hAnsi="Times New Roman"/>
              </w:rPr>
              <w:t>Rady Ministrów w sprawie Polskiej Klasyfikacji Działalności (PKD) (RC7)</w:t>
            </w:r>
            <w:r>
              <w:rPr>
                <w:rFonts w:ascii="Times New Roman" w:hAnsi="Times New Roman"/>
              </w:rPr>
              <w:t xml:space="preserve"> zostanie </w:t>
            </w:r>
            <w:r w:rsidRPr="00AF52FC">
              <w:rPr>
                <w:rFonts w:ascii="Times New Roman" w:hAnsi="Times New Roman"/>
              </w:rPr>
              <w:t>wydawane na dotychczasowej podstawie prawnej (art. 40 ust. 2 ustawy o statystyce publicznej)</w:t>
            </w:r>
            <w:r w:rsidR="001C66F3">
              <w:rPr>
                <w:rFonts w:ascii="Times New Roman" w:hAnsi="Times New Roman"/>
              </w:rPr>
              <w:t xml:space="preserve">. Rozporządzenie to </w:t>
            </w:r>
            <w:r w:rsidRPr="00AF52FC">
              <w:rPr>
                <w:rFonts w:ascii="Times New Roman" w:hAnsi="Times New Roman"/>
              </w:rPr>
              <w:t xml:space="preserve">z dniem 1 stycznia 2025 r. ma zastąpić obecnie obowiązujące rozporządzenie Rady Ministrów z dnia 24 grudnia 2007 r. w sprawie Polskiej Klasyfikacji Działalności (PKD) (Dz. U. poz. 1885, z </w:t>
            </w:r>
            <w:proofErr w:type="spellStart"/>
            <w:r w:rsidRPr="00AF52FC">
              <w:rPr>
                <w:rFonts w:ascii="Times New Roman" w:hAnsi="Times New Roman"/>
              </w:rPr>
              <w:t>późn</w:t>
            </w:r>
            <w:proofErr w:type="spellEnd"/>
            <w:r w:rsidRPr="00AF52FC">
              <w:rPr>
                <w:rFonts w:ascii="Times New Roman" w:hAnsi="Times New Roman"/>
              </w:rPr>
              <w:t xml:space="preserve">. zm.). Projektowane rozporządzenie zostało dnia 5 września 2024 r. skierowane do uzgodnień międzyresortowych, opiniowania i konsultacji publicznych. </w:t>
            </w:r>
            <w:r w:rsidR="001C66F3" w:rsidRPr="00AF52FC">
              <w:rPr>
                <w:rFonts w:ascii="Times New Roman" w:hAnsi="Times New Roman"/>
              </w:rPr>
              <w:t xml:space="preserve">Przepis przejściowy (art. 15 ust. 1 projektowanej ustawy) gwarantuje, że nowe rozporządzenie Rady Ministrów w sprawie Polskiej Klasyfikacji Działalności będzie obowiązywać do czasu, kiedy konieczne będzie wprowadzenie kolejnej wersji Polskiej Klasyfikacji Działalności, co z kolei uzależnione jest od przyszłych zmian w klasyfikacji Unii Europejskiej – </w:t>
            </w:r>
            <w:r w:rsidR="001C66F3" w:rsidRPr="00AF52FC">
              <w:rPr>
                <w:rFonts w:ascii="Times New Roman" w:hAnsi="Times New Roman"/>
                <w:i/>
              </w:rPr>
              <w:t xml:space="preserve">Statistical </w:t>
            </w:r>
            <w:proofErr w:type="spellStart"/>
            <w:r w:rsidR="001C66F3" w:rsidRPr="00AF52FC">
              <w:rPr>
                <w:rFonts w:ascii="Times New Roman" w:hAnsi="Times New Roman"/>
                <w:i/>
              </w:rPr>
              <w:t>Classification</w:t>
            </w:r>
            <w:proofErr w:type="spellEnd"/>
            <w:r w:rsidR="001C66F3" w:rsidRPr="00AF52FC">
              <w:rPr>
                <w:rFonts w:ascii="Times New Roman" w:hAnsi="Times New Roman"/>
                <w:i/>
              </w:rPr>
              <w:t xml:space="preserve"> of </w:t>
            </w:r>
            <w:proofErr w:type="spellStart"/>
            <w:r w:rsidR="001C66F3" w:rsidRPr="00AF52FC">
              <w:rPr>
                <w:rFonts w:ascii="Times New Roman" w:hAnsi="Times New Roman"/>
                <w:i/>
              </w:rPr>
              <w:t>Economic</w:t>
            </w:r>
            <w:proofErr w:type="spellEnd"/>
            <w:r w:rsidR="001C66F3" w:rsidRPr="00AF52F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1C66F3" w:rsidRPr="00AF52FC">
              <w:rPr>
                <w:rFonts w:ascii="Times New Roman" w:hAnsi="Times New Roman"/>
                <w:i/>
              </w:rPr>
              <w:t>Activities</w:t>
            </w:r>
            <w:proofErr w:type="spellEnd"/>
            <w:r w:rsidR="001C66F3" w:rsidRPr="00AF52FC">
              <w:rPr>
                <w:rFonts w:ascii="Times New Roman" w:hAnsi="Times New Roman"/>
                <w:i/>
              </w:rPr>
              <w:t xml:space="preserve"> in the </w:t>
            </w:r>
            <w:proofErr w:type="spellStart"/>
            <w:r w:rsidR="001C66F3" w:rsidRPr="00AF52FC">
              <w:rPr>
                <w:rFonts w:ascii="Times New Roman" w:hAnsi="Times New Roman"/>
                <w:i/>
              </w:rPr>
              <w:t>European</w:t>
            </w:r>
            <w:proofErr w:type="spellEnd"/>
            <w:r w:rsidR="001C66F3" w:rsidRPr="00AF52FC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1C66F3" w:rsidRPr="00AF52FC">
              <w:rPr>
                <w:rFonts w:ascii="Times New Roman" w:hAnsi="Times New Roman"/>
                <w:i/>
              </w:rPr>
              <w:t>Community</w:t>
            </w:r>
            <w:proofErr w:type="spellEnd"/>
            <w:r w:rsidR="001C66F3" w:rsidRPr="00AF52FC">
              <w:rPr>
                <w:rFonts w:ascii="Times New Roman" w:hAnsi="Times New Roman"/>
                <w:i/>
              </w:rPr>
              <w:t xml:space="preserve"> NACE </w:t>
            </w:r>
            <w:proofErr w:type="spellStart"/>
            <w:r w:rsidR="001C66F3" w:rsidRPr="00AF52FC">
              <w:rPr>
                <w:rFonts w:ascii="Times New Roman" w:hAnsi="Times New Roman"/>
                <w:i/>
              </w:rPr>
              <w:t>Rev</w:t>
            </w:r>
            <w:proofErr w:type="spellEnd"/>
            <w:r w:rsidR="001C66F3" w:rsidRPr="00AF52FC">
              <w:rPr>
                <w:rFonts w:ascii="Times New Roman" w:hAnsi="Times New Roman"/>
                <w:i/>
              </w:rPr>
              <w:t>. 2.1</w:t>
            </w:r>
            <w:r w:rsidR="001C66F3">
              <w:rPr>
                <w:rFonts w:ascii="Times New Roman" w:hAnsi="Times New Roman"/>
                <w:i/>
              </w:rPr>
              <w:t>.</w:t>
            </w:r>
          </w:p>
        </w:tc>
      </w:tr>
      <w:tr w:rsidR="00A66C63" w:rsidRPr="000F4E41" w14:paraId="443B2988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1012DDAA" w14:textId="06EB893A" w:rsidR="00A66C63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49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ECE7256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MF</w:t>
            </w:r>
          </w:p>
        </w:tc>
        <w:tc>
          <w:tcPr>
            <w:tcW w:w="2410" w:type="dxa"/>
            <w:shd w:val="clear" w:color="auto" w:fill="auto"/>
          </w:tcPr>
          <w:p w14:paraId="11053432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Uwaga ogólna</w:t>
            </w:r>
          </w:p>
        </w:tc>
        <w:tc>
          <w:tcPr>
            <w:tcW w:w="5670" w:type="dxa"/>
            <w:shd w:val="clear" w:color="auto" w:fill="auto"/>
          </w:tcPr>
          <w:p w14:paraId="0FB02BAC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 xml:space="preserve">Zgłaszam potrzebę pozostawienia w bazie dotychczasowego kodu PKD wraz z datą, do której obowiązywał (tj. do jego zmiany w związku z wprowadzaną ustawą), aby umożliwić przeprowadzenie analiz związanych z oceną skutków regulacji podatkowych ex post, np. dotyczących skutków ulg podatkowych. Z uwagi na wykorzystywanie danych historycznych w przeprowadzanych analizach oceny skutków regulacji ex post wskazane jest pozostawienie danych archiwalnych o kodach PKD podatników, którzy zakończyli działalność (tzn. nie jest wskazane ich bezpowrotne usunięcie). Z doświadczeń analitycznych MF wynika </w:t>
            </w:r>
            <w:r w:rsidRPr="000F4E41">
              <w:rPr>
                <w:rFonts w:ascii="Times New Roman" w:eastAsiaTheme="minorHAnsi" w:hAnsi="Times New Roman"/>
              </w:rPr>
              <w:lastRenderedPageBreak/>
              <w:t xml:space="preserve">również, że braki PKD dotyczą aktywnych podatników podatku dochodowego od osób fizycznych, np. 55 korzystających z ulgi B+R oraz 133 podatników korzystających z preferencyjnej stawki opodatkowania IP </w:t>
            </w:r>
            <w:proofErr w:type="spellStart"/>
            <w:r w:rsidRPr="000F4E41">
              <w:rPr>
                <w:rFonts w:ascii="Times New Roman" w:eastAsiaTheme="minorHAnsi" w:hAnsi="Times New Roman"/>
              </w:rPr>
              <w:t>box</w:t>
            </w:r>
            <w:proofErr w:type="spellEnd"/>
            <w:r w:rsidRPr="000F4E41">
              <w:rPr>
                <w:rFonts w:ascii="Times New Roman" w:eastAsiaTheme="minorHAnsi" w:hAnsi="Times New Roman"/>
              </w:rPr>
              <w:t>, w tym 46, dla których braki PKD występują również w alternatywnych źródłach danych.</w:t>
            </w:r>
          </w:p>
        </w:tc>
        <w:tc>
          <w:tcPr>
            <w:tcW w:w="5103" w:type="dxa"/>
          </w:tcPr>
          <w:p w14:paraId="220C2515" w14:textId="7B83A96B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lastRenderedPageBreak/>
              <w:t xml:space="preserve">Wyjaśnienie </w:t>
            </w:r>
            <w:proofErr w:type="spellStart"/>
            <w:r w:rsidRPr="000F4E41">
              <w:rPr>
                <w:rFonts w:ascii="Times New Roman" w:hAnsi="Times New Roman"/>
                <w:b/>
              </w:rPr>
              <w:t>MRiT</w:t>
            </w:r>
            <w:proofErr w:type="spellEnd"/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25493A7F" w14:textId="52766371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 przypadku osób fizycznych prowadzących działalność gospodarczą wpisanych do CEIDG „stare” kody PKD pozostaną widoczne w historii wpisu. </w:t>
            </w:r>
          </w:p>
          <w:p w14:paraId="0555E37F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Zgodnie z art. 2 ust. 2 pkt 3 ustawy o CEIDG i PIP do zadań CEIDG należy udostępnianie informacji o zakresie i terminie zmian we wpisach do CEIDG oraz w informacjach i danych udostępnianych w CEIDG, a także o wprowadzającym te zmiany podmiocie. Zatem informacja o „starym” kodzie PKD po dokonaniu zmiany wpisu zostanie przeniesiona do historii wpisu </w:t>
            </w:r>
            <w:r w:rsidRPr="000F4E41">
              <w:rPr>
                <w:rFonts w:ascii="Times New Roman" w:hAnsi="Times New Roman"/>
              </w:rPr>
              <w:lastRenderedPageBreak/>
              <w:t>wraz z oznaczeniem podmiotu, który tej zmiany dokonał i określonym terminem zmiany.</w:t>
            </w:r>
          </w:p>
          <w:p w14:paraId="4B052BF2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073AE38" w14:textId="7C8AFFC8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Wyjaśnienie GUS</w:t>
            </w:r>
            <w:r w:rsidR="005408AE" w:rsidRPr="000F4E41">
              <w:rPr>
                <w:rFonts w:ascii="Times New Roman" w:hAnsi="Times New Roman"/>
                <w:b/>
              </w:rPr>
              <w:t>:</w:t>
            </w:r>
          </w:p>
          <w:p w14:paraId="4AB0FE9F" w14:textId="4FFD371F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Roczne stany baz rejestru REGON są archiwowane i przechowywane wieczyście. Dane wg stanu bazy na koniec 2024 r. będą zawierały kody wg PKD 2007.  </w:t>
            </w:r>
          </w:p>
          <w:p w14:paraId="25BFA574" w14:textId="68513E8A" w:rsidR="00A66C63" w:rsidRPr="000F4E41" w:rsidRDefault="00A275EC" w:rsidP="007214C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Wzajemne relacje </w:t>
            </w:r>
            <w:r w:rsidR="00A66C63" w:rsidRPr="000F4E41">
              <w:rPr>
                <w:rFonts w:ascii="Times New Roman" w:hAnsi="Times New Roman"/>
              </w:rPr>
              <w:t xml:space="preserve">– umożliwiające samodzielne określenie rodzajów działalności wg PKD 2007 i 2025 będą częścią rozporządzenia Rady Ministrów, które zostanie wydane na podstawie art. 40 ust. 2 </w:t>
            </w:r>
            <w:r w:rsidRPr="000F4E41">
              <w:rPr>
                <w:rFonts w:ascii="Times New Roman" w:hAnsi="Times New Roman"/>
              </w:rPr>
              <w:t xml:space="preserve">i 3 </w:t>
            </w:r>
            <w:r w:rsidR="00A66C63" w:rsidRPr="000F4E41">
              <w:rPr>
                <w:rFonts w:ascii="Times New Roman" w:hAnsi="Times New Roman"/>
              </w:rPr>
              <w:t xml:space="preserve">ustawy o statystyce publicznej. </w:t>
            </w:r>
          </w:p>
        </w:tc>
      </w:tr>
      <w:tr w:rsidR="00A66C63" w:rsidRPr="000F4E41" w14:paraId="2ED2D5A7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2CB530CE" w14:textId="04EFE4EC" w:rsidR="00A66C63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3E1E25FA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25A3CB2D" w14:textId="77777777" w:rsidR="00A66C63" w:rsidRPr="000F4E41" w:rsidRDefault="00A66C63" w:rsidP="007214C3">
            <w:pPr>
              <w:spacing w:after="0" w:line="240" w:lineRule="auto"/>
              <w:jc w:val="both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Uwaga ogólna</w:t>
            </w:r>
          </w:p>
        </w:tc>
        <w:tc>
          <w:tcPr>
            <w:tcW w:w="5670" w:type="dxa"/>
            <w:shd w:val="clear" w:color="auto" w:fill="auto"/>
          </w:tcPr>
          <w:p w14:paraId="17B651A5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Projekt wymaga dopracowania pod względem legislacyjnym i redakcyjnym. Szczegółowe uwagi legislacyjne i redakcyjne do projektu zostaną przekazane na etapie komisji prawniczej.</w:t>
            </w:r>
          </w:p>
        </w:tc>
        <w:tc>
          <w:tcPr>
            <w:tcW w:w="5103" w:type="dxa"/>
          </w:tcPr>
          <w:p w14:paraId="285ABFE1" w14:textId="77777777" w:rsidR="001C66F3" w:rsidRDefault="00A66C63" w:rsidP="001C66F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  <w:b/>
              </w:rPr>
              <w:t>Uwaga zostanie uwzględniona</w:t>
            </w:r>
            <w:r w:rsidR="001C66F3" w:rsidRPr="000F4E41">
              <w:rPr>
                <w:rFonts w:ascii="Times New Roman" w:hAnsi="Times New Roman"/>
              </w:rPr>
              <w:t xml:space="preserve"> </w:t>
            </w:r>
          </w:p>
          <w:p w14:paraId="1041ACB2" w14:textId="77777777" w:rsidR="001C66F3" w:rsidRDefault="001C66F3" w:rsidP="001C66F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866E7AE" w14:textId="41D269EF" w:rsidR="00A66C63" w:rsidRPr="001C66F3" w:rsidRDefault="001C66F3" w:rsidP="001C66F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 xml:space="preserve">Projekt ustawy zostanie skierowany do rozpatrzenia </w:t>
            </w:r>
            <w:r>
              <w:rPr>
                <w:rFonts w:ascii="Times New Roman" w:hAnsi="Times New Roman"/>
              </w:rPr>
              <w:t>na posiedzeniu komisji prawniczej.</w:t>
            </w:r>
          </w:p>
        </w:tc>
      </w:tr>
      <w:tr w:rsidR="00A66C63" w:rsidRPr="000F4E41" w14:paraId="772EFBE2" w14:textId="77777777" w:rsidTr="002F44B9">
        <w:trPr>
          <w:trHeight w:val="272"/>
        </w:trPr>
        <w:tc>
          <w:tcPr>
            <w:tcW w:w="559" w:type="dxa"/>
            <w:shd w:val="clear" w:color="auto" w:fill="auto"/>
          </w:tcPr>
          <w:p w14:paraId="695B4088" w14:textId="5289DED8" w:rsidR="00A66C63" w:rsidRPr="000F4E41" w:rsidRDefault="00C1018B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  <w:r w:rsidR="00A66C63" w:rsidRPr="000F4E41">
              <w:rPr>
                <w:rFonts w:ascii="Times New Roman" w:hAnsi="Times New Roman"/>
              </w:rPr>
              <w:t>.</w:t>
            </w:r>
          </w:p>
        </w:tc>
        <w:tc>
          <w:tcPr>
            <w:tcW w:w="1421" w:type="dxa"/>
            <w:shd w:val="clear" w:color="auto" w:fill="auto"/>
          </w:tcPr>
          <w:p w14:paraId="6CC78B94" w14:textId="77777777" w:rsidR="00A66C63" w:rsidRPr="000F4E41" w:rsidRDefault="00A66C63" w:rsidP="007214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RCL</w:t>
            </w:r>
          </w:p>
        </w:tc>
        <w:tc>
          <w:tcPr>
            <w:tcW w:w="2410" w:type="dxa"/>
            <w:shd w:val="clear" w:color="auto" w:fill="auto"/>
          </w:tcPr>
          <w:p w14:paraId="3E42955E" w14:textId="77777777" w:rsidR="00A66C63" w:rsidRPr="000F4E41" w:rsidRDefault="00A66C63" w:rsidP="007214C3">
            <w:pPr>
              <w:spacing w:after="0" w:line="240" w:lineRule="auto"/>
              <w:rPr>
                <w:rFonts w:ascii="Times New Roman" w:eastAsiaTheme="minorHAnsi" w:hAnsi="Times New Roman"/>
                <w:b/>
                <w:color w:val="000000"/>
              </w:rPr>
            </w:pPr>
            <w:r w:rsidRPr="000F4E41">
              <w:rPr>
                <w:rFonts w:ascii="Times New Roman" w:eastAsiaTheme="minorHAnsi" w:hAnsi="Times New Roman"/>
                <w:b/>
                <w:color w:val="000000"/>
              </w:rPr>
              <w:t>Uwaga dotycząca trybu prac nad projektem</w:t>
            </w:r>
          </w:p>
        </w:tc>
        <w:tc>
          <w:tcPr>
            <w:tcW w:w="5670" w:type="dxa"/>
            <w:shd w:val="clear" w:color="auto" w:fill="auto"/>
          </w:tcPr>
          <w:p w14:paraId="1B690081" w14:textId="77777777" w:rsidR="00A66C63" w:rsidRPr="000F4E41" w:rsidRDefault="00A66C63" w:rsidP="007214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</w:rPr>
            </w:pPr>
            <w:r w:rsidRPr="000F4E41">
              <w:rPr>
                <w:rFonts w:ascii="Times New Roman" w:eastAsiaTheme="minorHAnsi" w:hAnsi="Times New Roman"/>
              </w:rPr>
              <w:t>W związku z tym, że projektowana ustawa dotyczy rejestrów publicznych i ewidencji oraz udostępniania danych w postaci elektronicznej w celu wykorzystania do realizacji zadań publicznych, projekt powinien zostać rozpatrzony przez Komitet Rady Ministrów do spraw Cyfryzacji.</w:t>
            </w:r>
          </w:p>
        </w:tc>
        <w:tc>
          <w:tcPr>
            <w:tcW w:w="5103" w:type="dxa"/>
          </w:tcPr>
          <w:p w14:paraId="26452809" w14:textId="40C13BEF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F4E41">
              <w:rPr>
                <w:rFonts w:ascii="Times New Roman" w:hAnsi="Times New Roman"/>
                <w:b/>
              </w:rPr>
              <w:t>Uwaga uwzględniona</w:t>
            </w:r>
          </w:p>
          <w:p w14:paraId="461DAC93" w14:textId="77777777" w:rsidR="00A66C63" w:rsidRPr="000F4E41" w:rsidRDefault="00A66C63" w:rsidP="007214C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14:paraId="2D26BAA0" w14:textId="77777777" w:rsidR="001C66F3" w:rsidRPr="000F4E41" w:rsidRDefault="001C66F3" w:rsidP="001C66F3">
            <w:pPr>
              <w:spacing w:after="0" w:line="240" w:lineRule="auto"/>
              <w:rPr>
                <w:rFonts w:ascii="Times New Roman" w:hAnsi="Times New Roman"/>
              </w:rPr>
            </w:pPr>
            <w:r w:rsidRPr="000F4E41">
              <w:rPr>
                <w:rFonts w:ascii="Times New Roman" w:hAnsi="Times New Roman"/>
              </w:rPr>
              <w:t>Projekt ustawy zostanie skierowany do rozpatrzenia przez KRMC.</w:t>
            </w:r>
          </w:p>
          <w:p w14:paraId="6AD7E311" w14:textId="77777777" w:rsidR="00A66C63" w:rsidRPr="000F4E41" w:rsidRDefault="00A66C63" w:rsidP="001C66F3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2ECAF25" w14:textId="77777777" w:rsidR="00123906" w:rsidRPr="000F4E41" w:rsidRDefault="00123906" w:rsidP="007214C3">
      <w:pPr>
        <w:spacing w:after="0" w:line="240" w:lineRule="auto"/>
        <w:rPr>
          <w:rFonts w:ascii="Times New Roman" w:hAnsi="Times New Roman"/>
        </w:rPr>
      </w:pPr>
    </w:p>
    <w:p w14:paraId="2D080A90" w14:textId="77777777" w:rsidR="008A2950" w:rsidRPr="000F4E41" w:rsidRDefault="008A2950" w:rsidP="007214C3">
      <w:pPr>
        <w:spacing w:after="0" w:line="240" w:lineRule="auto"/>
        <w:rPr>
          <w:rFonts w:ascii="Times New Roman" w:hAnsi="Times New Roman"/>
        </w:rPr>
      </w:pPr>
    </w:p>
    <w:sectPr w:rsidR="008A2950" w:rsidRPr="000F4E41" w:rsidSect="00191E5C">
      <w:footerReference w:type="default" r:id="rId10"/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71A79A" w14:textId="77777777" w:rsidR="00836163" w:rsidRDefault="00836163" w:rsidP="001039F5">
      <w:pPr>
        <w:spacing w:after="0" w:line="240" w:lineRule="auto"/>
      </w:pPr>
      <w:r>
        <w:separator/>
      </w:r>
    </w:p>
  </w:endnote>
  <w:endnote w:type="continuationSeparator" w:id="0">
    <w:p w14:paraId="0B64DE47" w14:textId="77777777" w:rsidR="00836163" w:rsidRDefault="00836163" w:rsidP="001039F5">
      <w:pPr>
        <w:spacing w:after="0" w:line="240" w:lineRule="auto"/>
      </w:pPr>
      <w:r>
        <w:continuationSeparator/>
      </w:r>
    </w:p>
  </w:endnote>
  <w:endnote w:type="continuationNotice" w:id="1">
    <w:p w14:paraId="77461E35" w14:textId="77777777" w:rsidR="00836163" w:rsidRDefault="0083616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Segoe UI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7237103"/>
      <w:docPartObj>
        <w:docPartGallery w:val="Page Numbers (Bottom of Page)"/>
        <w:docPartUnique/>
      </w:docPartObj>
    </w:sdtPr>
    <w:sdtEndPr>
      <w:rPr>
        <w:sz w:val="18"/>
      </w:rPr>
    </w:sdtEndPr>
    <w:sdtContent>
      <w:p w14:paraId="0F24A26C" w14:textId="77777777" w:rsidR="00501C5B" w:rsidRPr="001039F5" w:rsidRDefault="00501C5B">
        <w:pPr>
          <w:pStyle w:val="Stopka"/>
          <w:jc w:val="center"/>
          <w:rPr>
            <w:sz w:val="18"/>
          </w:rPr>
        </w:pPr>
        <w:r w:rsidRPr="001039F5">
          <w:rPr>
            <w:sz w:val="18"/>
          </w:rPr>
          <w:fldChar w:fldCharType="begin"/>
        </w:r>
        <w:r w:rsidRPr="001039F5">
          <w:rPr>
            <w:sz w:val="18"/>
          </w:rPr>
          <w:instrText>PAGE   \* MERGEFORMAT</w:instrText>
        </w:r>
        <w:r w:rsidRPr="001039F5">
          <w:rPr>
            <w:sz w:val="18"/>
          </w:rPr>
          <w:fldChar w:fldCharType="separate"/>
        </w:r>
        <w:r>
          <w:rPr>
            <w:noProof/>
            <w:sz w:val="18"/>
          </w:rPr>
          <w:t>58</w:t>
        </w:r>
        <w:r w:rsidRPr="001039F5">
          <w:rPr>
            <w:sz w:val="18"/>
          </w:rPr>
          <w:fldChar w:fldCharType="end"/>
        </w:r>
      </w:p>
    </w:sdtContent>
  </w:sdt>
  <w:p w14:paraId="0B77B4EC" w14:textId="77777777" w:rsidR="00501C5B" w:rsidRDefault="00501C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63625" w14:textId="77777777" w:rsidR="00836163" w:rsidRDefault="00836163" w:rsidP="001039F5">
      <w:pPr>
        <w:spacing w:after="0" w:line="240" w:lineRule="auto"/>
      </w:pPr>
      <w:r>
        <w:separator/>
      </w:r>
    </w:p>
  </w:footnote>
  <w:footnote w:type="continuationSeparator" w:id="0">
    <w:p w14:paraId="7CE80AFE" w14:textId="77777777" w:rsidR="00836163" w:rsidRDefault="00836163" w:rsidP="001039F5">
      <w:pPr>
        <w:spacing w:after="0" w:line="240" w:lineRule="auto"/>
      </w:pPr>
      <w:r>
        <w:continuationSeparator/>
      </w:r>
    </w:p>
  </w:footnote>
  <w:footnote w:type="continuationNotice" w:id="1">
    <w:p w14:paraId="680E0A88" w14:textId="77777777" w:rsidR="00836163" w:rsidRDefault="0083616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E61FF"/>
    <w:multiLevelType w:val="hybridMultilevel"/>
    <w:tmpl w:val="5E14BCF2"/>
    <w:lvl w:ilvl="0" w:tplc="8236CBB8">
      <w:start w:val="3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31A1885"/>
    <w:multiLevelType w:val="hybridMultilevel"/>
    <w:tmpl w:val="C0169A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D4E86"/>
    <w:multiLevelType w:val="hybridMultilevel"/>
    <w:tmpl w:val="1F486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A5D14"/>
    <w:multiLevelType w:val="hybridMultilevel"/>
    <w:tmpl w:val="A20C3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23C53"/>
    <w:multiLevelType w:val="hybridMultilevel"/>
    <w:tmpl w:val="5E94D016"/>
    <w:lvl w:ilvl="0" w:tplc="F2D6B438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55604D"/>
    <w:multiLevelType w:val="hybridMultilevel"/>
    <w:tmpl w:val="9B4C55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8A58B6"/>
    <w:multiLevelType w:val="hybridMultilevel"/>
    <w:tmpl w:val="274015DC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E2D30"/>
    <w:multiLevelType w:val="hybridMultilevel"/>
    <w:tmpl w:val="A85AEE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7B76FCE"/>
    <w:multiLevelType w:val="hybridMultilevel"/>
    <w:tmpl w:val="90EC4EC0"/>
    <w:lvl w:ilvl="0" w:tplc="E8709A1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B9B44AD"/>
    <w:multiLevelType w:val="hybridMultilevel"/>
    <w:tmpl w:val="55982A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A25CD9"/>
    <w:multiLevelType w:val="hybridMultilevel"/>
    <w:tmpl w:val="618CB1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BD7FDD"/>
    <w:multiLevelType w:val="hybridMultilevel"/>
    <w:tmpl w:val="1F5A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A83A55"/>
    <w:multiLevelType w:val="hybridMultilevel"/>
    <w:tmpl w:val="FE08431C"/>
    <w:lvl w:ilvl="0" w:tplc="3118CD6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175E0D"/>
    <w:multiLevelType w:val="hybridMultilevel"/>
    <w:tmpl w:val="7CC28F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4D40622"/>
    <w:multiLevelType w:val="hybridMultilevel"/>
    <w:tmpl w:val="6E24D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7875D7"/>
    <w:multiLevelType w:val="hybridMultilevel"/>
    <w:tmpl w:val="19DA0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E554F2"/>
    <w:multiLevelType w:val="hybridMultilevel"/>
    <w:tmpl w:val="188AB71E"/>
    <w:lvl w:ilvl="0" w:tplc="B0949AE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DC74EC"/>
    <w:multiLevelType w:val="hybridMultilevel"/>
    <w:tmpl w:val="C5CE01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67058D"/>
    <w:multiLevelType w:val="hybridMultilevel"/>
    <w:tmpl w:val="6A78F9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6843644"/>
    <w:multiLevelType w:val="hybridMultilevel"/>
    <w:tmpl w:val="32E60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A727C"/>
    <w:multiLevelType w:val="hybridMultilevel"/>
    <w:tmpl w:val="8A8A5AF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D83A17"/>
    <w:multiLevelType w:val="hybridMultilevel"/>
    <w:tmpl w:val="4F46BA6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8D33573"/>
    <w:multiLevelType w:val="hybridMultilevel"/>
    <w:tmpl w:val="2E2230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ECF505B"/>
    <w:multiLevelType w:val="hybridMultilevel"/>
    <w:tmpl w:val="E0F0FBA2"/>
    <w:lvl w:ilvl="0" w:tplc="946A38E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AEB5262"/>
    <w:multiLevelType w:val="hybridMultilevel"/>
    <w:tmpl w:val="5FB0662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3B4B54"/>
    <w:multiLevelType w:val="hybridMultilevel"/>
    <w:tmpl w:val="37B6CD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BFF1DDB"/>
    <w:multiLevelType w:val="hybridMultilevel"/>
    <w:tmpl w:val="1A8231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3835194"/>
    <w:multiLevelType w:val="hybridMultilevel"/>
    <w:tmpl w:val="BADE53E2"/>
    <w:lvl w:ilvl="0" w:tplc="8A30C108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abstractNum w:abstractNumId="28" w15:restartNumberingAfterBreak="0">
    <w:nsid w:val="67E871C4"/>
    <w:multiLevelType w:val="hybridMultilevel"/>
    <w:tmpl w:val="65586C5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A075660"/>
    <w:multiLevelType w:val="hybridMultilevel"/>
    <w:tmpl w:val="1EB8E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1C6472"/>
    <w:multiLevelType w:val="hybridMultilevel"/>
    <w:tmpl w:val="5652F988"/>
    <w:lvl w:ilvl="0" w:tplc="2500CC3A">
      <w:start w:val="1"/>
      <w:numFmt w:val="decimal"/>
      <w:lvlText w:val="%1)"/>
      <w:lvlJc w:val="left"/>
      <w:pPr>
        <w:ind w:left="360" w:hanging="360"/>
      </w:pPr>
      <w:rPr>
        <w:rFonts w:ascii="TimesNewRomanPSMT" w:hAnsi="TimesNewRomanPSMT" w:cs="TimesNewRomanPSMT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F2B1363"/>
    <w:multiLevelType w:val="hybridMultilevel"/>
    <w:tmpl w:val="C3D2EC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74CB6"/>
    <w:multiLevelType w:val="hybridMultilevel"/>
    <w:tmpl w:val="69EAB3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061836"/>
    <w:multiLevelType w:val="hybridMultilevel"/>
    <w:tmpl w:val="FC3C35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2B604DD"/>
    <w:multiLevelType w:val="hybridMultilevel"/>
    <w:tmpl w:val="3C4A661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5866A85"/>
    <w:multiLevelType w:val="hybridMultilevel"/>
    <w:tmpl w:val="69AA17D2"/>
    <w:lvl w:ilvl="0" w:tplc="56C0873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C5E6399"/>
    <w:multiLevelType w:val="hybridMultilevel"/>
    <w:tmpl w:val="80E2F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20"/>
  </w:num>
  <w:num w:numId="5">
    <w:abstractNumId w:val="34"/>
  </w:num>
  <w:num w:numId="6">
    <w:abstractNumId w:val="21"/>
  </w:num>
  <w:num w:numId="7">
    <w:abstractNumId w:val="30"/>
  </w:num>
  <w:num w:numId="8">
    <w:abstractNumId w:val="25"/>
  </w:num>
  <w:num w:numId="9">
    <w:abstractNumId w:val="17"/>
  </w:num>
  <w:num w:numId="10">
    <w:abstractNumId w:val="19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31"/>
  </w:num>
  <w:num w:numId="2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3"/>
  </w:num>
  <w:num w:numId="26">
    <w:abstractNumId w:val="3"/>
  </w:num>
  <w:num w:numId="27">
    <w:abstractNumId w:val="14"/>
  </w:num>
  <w:num w:numId="28">
    <w:abstractNumId w:val="22"/>
  </w:num>
  <w:num w:numId="29">
    <w:abstractNumId w:val="16"/>
  </w:num>
  <w:num w:numId="30">
    <w:abstractNumId w:val="35"/>
  </w:num>
  <w:num w:numId="31">
    <w:abstractNumId w:val="1"/>
  </w:num>
  <w:num w:numId="32">
    <w:abstractNumId w:val="15"/>
  </w:num>
  <w:num w:numId="33">
    <w:abstractNumId w:val="24"/>
  </w:num>
  <w:num w:numId="34">
    <w:abstractNumId w:val="36"/>
  </w:num>
  <w:num w:numId="35">
    <w:abstractNumId w:val="32"/>
  </w:num>
  <w:num w:numId="36">
    <w:abstractNumId w:val="8"/>
  </w:num>
  <w:num w:numId="37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D35"/>
    <w:rsid w:val="00000BF7"/>
    <w:rsid w:val="000028F0"/>
    <w:rsid w:val="00002977"/>
    <w:rsid w:val="000030B5"/>
    <w:rsid w:val="00003FD3"/>
    <w:rsid w:val="00005812"/>
    <w:rsid w:val="00005CCA"/>
    <w:rsid w:val="0000647A"/>
    <w:rsid w:val="00006EB1"/>
    <w:rsid w:val="00011B97"/>
    <w:rsid w:val="00012847"/>
    <w:rsid w:val="00014673"/>
    <w:rsid w:val="000147D3"/>
    <w:rsid w:val="0001494D"/>
    <w:rsid w:val="00016473"/>
    <w:rsid w:val="000172C5"/>
    <w:rsid w:val="0002113F"/>
    <w:rsid w:val="00023AE3"/>
    <w:rsid w:val="00024537"/>
    <w:rsid w:val="00024A26"/>
    <w:rsid w:val="000269CF"/>
    <w:rsid w:val="0003018F"/>
    <w:rsid w:val="00030C40"/>
    <w:rsid w:val="0003119A"/>
    <w:rsid w:val="0003247F"/>
    <w:rsid w:val="00035107"/>
    <w:rsid w:val="00035C78"/>
    <w:rsid w:val="0003758D"/>
    <w:rsid w:val="00037B6D"/>
    <w:rsid w:val="00040969"/>
    <w:rsid w:val="00041363"/>
    <w:rsid w:val="00042EAA"/>
    <w:rsid w:val="000431B3"/>
    <w:rsid w:val="00044EBD"/>
    <w:rsid w:val="00045744"/>
    <w:rsid w:val="00045F62"/>
    <w:rsid w:val="00046263"/>
    <w:rsid w:val="00046ED3"/>
    <w:rsid w:val="000538E4"/>
    <w:rsid w:val="000541C0"/>
    <w:rsid w:val="00055D81"/>
    <w:rsid w:val="00056265"/>
    <w:rsid w:val="00057193"/>
    <w:rsid w:val="00057276"/>
    <w:rsid w:val="000576FA"/>
    <w:rsid w:val="000601B0"/>
    <w:rsid w:val="00061F64"/>
    <w:rsid w:val="00063586"/>
    <w:rsid w:val="00063D37"/>
    <w:rsid w:val="00063FAF"/>
    <w:rsid w:val="00064FED"/>
    <w:rsid w:val="000654A3"/>
    <w:rsid w:val="00067428"/>
    <w:rsid w:val="0007018A"/>
    <w:rsid w:val="0007104C"/>
    <w:rsid w:val="00071C92"/>
    <w:rsid w:val="00073717"/>
    <w:rsid w:val="000778F2"/>
    <w:rsid w:val="00077C5E"/>
    <w:rsid w:val="00080D71"/>
    <w:rsid w:val="00081492"/>
    <w:rsid w:val="00081E3B"/>
    <w:rsid w:val="00082603"/>
    <w:rsid w:val="000828CA"/>
    <w:rsid w:val="00082E21"/>
    <w:rsid w:val="00083CE3"/>
    <w:rsid w:val="000861F4"/>
    <w:rsid w:val="00086F97"/>
    <w:rsid w:val="000874F9"/>
    <w:rsid w:val="0009050B"/>
    <w:rsid w:val="00090525"/>
    <w:rsid w:val="0009124F"/>
    <w:rsid w:val="00092A7F"/>
    <w:rsid w:val="00095C30"/>
    <w:rsid w:val="00095C69"/>
    <w:rsid w:val="000967F7"/>
    <w:rsid w:val="00097966"/>
    <w:rsid w:val="000A0532"/>
    <w:rsid w:val="000A146C"/>
    <w:rsid w:val="000A1CAD"/>
    <w:rsid w:val="000A2B9E"/>
    <w:rsid w:val="000A4B62"/>
    <w:rsid w:val="000A7847"/>
    <w:rsid w:val="000A7DDA"/>
    <w:rsid w:val="000A7FEC"/>
    <w:rsid w:val="000B2717"/>
    <w:rsid w:val="000B484A"/>
    <w:rsid w:val="000B48B1"/>
    <w:rsid w:val="000B5B8C"/>
    <w:rsid w:val="000B5DC9"/>
    <w:rsid w:val="000B6587"/>
    <w:rsid w:val="000B7427"/>
    <w:rsid w:val="000B74E4"/>
    <w:rsid w:val="000C0017"/>
    <w:rsid w:val="000C121B"/>
    <w:rsid w:val="000C18D9"/>
    <w:rsid w:val="000C1C19"/>
    <w:rsid w:val="000C26F5"/>
    <w:rsid w:val="000C399D"/>
    <w:rsid w:val="000C4DCD"/>
    <w:rsid w:val="000C525E"/>
    <w:rsid w:val="000C55B4"/>
    <w:rsid w:val="000C7721"/>
    <w:rsid w:val="000C7C7E"/>
    <w:rsid w:val="000D2002"/>
    <w:rsid w:val="000D2183"/>
    <w:rsid w:val="000D28A6"/>
    <w:rsid w:val="000D2EEF"/>
    <w:rsid w:val="000D31AF"/>
    <w:rsid w:val="000D434D"/>
    <w:rsid w:val="000D7E6F"/>
    <w:rsid w:val="000E0739"/>
    <w:rsid w:val="000E13BF"/>
    <w:rsid w:val="000E27B6"/>
    <w:rsid w:val="000E2D86"/>
    <w:rsid w:val="000E35DF"/>
    <w:rsid w:val="000E4058"/>
    <w:rsid w:val="000E4284"/>
    <w:rsid w:val="000E7882"/>
    <w:rsid w:val="000F42AE"/>
    <w:rsid w:val="000F4E41"/>
    <w:rsid w:val="000F4E5B"/>
    <w:rsid w:val="000F66D5"/>
    <w:rsid w:val="001004F5"/>
    <w:rsid w:val="001006CE"/>
    <w:rsid w:val="001015DD"/>
    <w:rsid w:val="00101E4B"/>
    <w:rsid w:val="00101FCB"/>
    <w:rsid w:val="00102834"/>
    <w:rsid w:val="001039F5"/>
    <w:rsid w:val="00103C7B"/>
    <w:rsid w:val="00103F97"/>
    <w:rsid w:val="00104E91"/>
    <w:rsid w:val="00107321"/>
    <w:rsid w:val="00107FC1"/>
    <w:rsid w:val="00111CB5"/>
    <w:rsid w:val="0011205A"/>
    <w:rsid w:val="001138E8"/>
    <w:rsid w:val="00113C8A"/>
    <w:rsid w:val="0011758D"/>
    <w:rsid w:val="0011758E"/>
    <w:rsid w:val="001176FE"/>
    <w:rsid w:val="00117DE5"/>
    <w:rsid w:val="001200A6"/>
    <w:rsid w:val="00120361"/>
    <w:rsid w:val="001224A7"/>
    <w:rsid w:val="00122F6B"/>
    <w:rsid w:val="00123906"/>
    <w:rsid w:val="001248C8"/>
    <w:rsid w:val="001254D5"/>
    <w:rsid w:val="0012657C"/>
    <w:rsid w:val="00127045"/>
    <w:rsid w:val="001273C4"/>
    <w:rsid w:val="00130AAA"/>
    <w:rsid w:val="001312E7"/>
    <w:rsid w:val="001340CB"/>
    <w:rsid w:val="001346F2"/>
    <w:rsid w:val="001355B1"/>
    <w:rsid w:val="001371F1"/>
    <w:rsid w:val="00140E00"/>
    <w:rsid w:val="001415BA"/>
    <w:rsid w:val="00141676"/>
    <w:rsid w:val="00141CA3"/>
    <w:rsid w:val="0014230F"/>
    <w:rsid w:val="00143826"/>
    <w:rsid w:val="00143FA9"/>
    <w:rsid w:val="00144D9F"/>
    <w:rsid w:val="001455F5"/>
    <w:rsid w:val="0014792F"/>
    <w:rsid w:val="00147DD4"/>
    <w:rsid w:val="00147EBC"/>
    <w:rsid w:val="0015035F"/>
    <w:rsid w:val="00152753"/>
    <w:rsid w:val="00152BFE"/>
    <w:rsid w:val="001540AA"/>
    <w:rsid w:val="0015418C"/>
    <w:rsid w:val="00154D20"/>
    <w:rsid w:val="00156135"/>
    <w:rsid w:val="00156D6B"/>
    <w:rsid w:val="00157CC1"/>
    <w:rsid w:val="00160027"/>
    <w:rsid w:val="001623A1"/>
    <w:rsid w:val="001631F4"/>
    <w:rsid w:val="00163E03"/>
    <w:rsid w:val="00166297"/>
    <w:rsid w:val="00166C6E"/>
    <w:rsid w:val="00166E1B"/>
    <w:rsid w:val="00166F5E"/>
    <w:rsid w:val="001745E6"/>
    <w:rsid w:val="00175D77"/>
    <w:rsid w:val="0017673B"/>
    <w:rsid w:val="00176DAB"/>
    <w:rsid w:val="001777D7"/>
    <w:rsid w:val="00180939"/>
    <w:rsid w:val="0018113E"/>
    <w:rsid w:val="0018300C"/>
    <w:rsid w:val="00183AC7"/>
    <w:rsid w:val="00185A78"/>
    <w:rsid w:val="00186422"/>
    <w:rsid w:val="0018696A"/>
    <w:rsid w:val="001906C9"/>
    <w:rsid w:val="00190915"/>
    <w:rsid w:val="00191140"/>
    <w:rsid w:val="00191E5C"/>
    <w:rsid w:val="0019201A"/>
    <w:rsid w:val="00193EC8"/>
    <w:rsid w:val="001945E5"/>
    <w:rsid w:val="001956A4"/>
    <w:rsid w:val="00195A94"/>
    <w:rsid w:val="00197958"/>
    <w:rsid w:val="001A0454"/>
    <w:rsid w:val="001A131E"/>
    <w:rsid w:val="001A1EF3"/>
    <w:rsid w:val="001A412D"/>
    <w:rsid w:val="001A7112"/>
    <w:rsid w:val="001B0018"/>
    <w:rsid w:val="001B1B86"/>
    <w:rsid w:val="001B2695"/>
    <w:rsid w:val="001B2DAC"/>
    <w:rsid w:val="001B4029"/>
    <w:rsid w:val="001B4ACB"/>
    <w:rsid w:val="001B54FF"/>
    <w:rsid w:val="001B6FAC"/>
    <w:rsid w:val="001C02F5"/>
    <w:rsid w:val="001C0A37"/>
    <w:rsid w:val="001C3700"/>
    <w:rsid w:val="001C39A2"/>
    <w:rsid w:val="001C4627"/>
    <w:rsid w:val="001C66F3"/>
    <w:rsid w:val="001C67F3"/>
    <w:rsid w:val="001C7480"/>
    <w:rsid w:val="001D3BAD"/>
    <w:rsid w:val="001D412C"/>
    <w:rsid w:val="001D501E"/>
    <w:rsid w:val="001D72DE"/>
    <w:rsid w:val="001D7A13"/>
    <w:rsid w:val="001D7EB1"/>
    <w:rsid w:val="001D7EBD"/>
    <w:rsid w:val="001E0720"/>
    <w:rsid w:val="001E13A5"/>
    <w:rsid w:val="001E2121"/>
    <w:rsid w:val="001E47DD"/>
    <w:rsid w:val="001E605A"/>
    <w:rsid w:val="001E6479"/>
    <w:rsid w:val="001E6BAC"/>
    <w:rsid w:val="001F0A70"/>
    <w:rsid w:val="001F5AF9"/>
    <w:rsid w:val="001F7F8C"/>
    <w:rsid w:val="002002A5"/>
    <w:rsid w:val="00201114"/>
    <w:rsid w:val="0020200D"/>
    <w:rsid w:val="00202F79"/>
    <w:rsid w:val="00203062"/>
    <w:rsid w:val="00204384"/>
    <w:rsid w:val="0020563E"/>
    <w:rsid w:val="00205789"/>
    <w:rsid w:val="00207EA7"/>
    <w:rsid w:val="00210B4F"/>
    <w:rsid w:val="00211B12"/>
    <w:rsid w:val="00212946"/>
    <w:rsid w:val="00214237"/>
    <w:rsid w:val="00214F5F"/>
    <w:rsid w:val="00215860"/>
    <w:rsid w:val="00217397"/>
    <w:rsid w:val="00221DD5"/>
    <w:rsid w:val="0022500C"/>
    <w:rsid w:val="00225B28"/>
    <w:rsid w:val="00226004"/>
    <w:rsid w:val="00226BAC"/>
    <w:rsid w:val="00226F07"/>
    <w:rsid w:val="00230A39"/>
    <w:rsid w:val="00230D4C"/>
    <w:rsid w:val="00230E2B"/>
    <w:rsid w:val="0023733D"/>
    <w:rsid w:val="0023754F"/>
    <w:rsid w:val="002410B5"/>
    <w:rsid w:val="00241BBA"/>
    <w:rsid w:val="0024238C"/>
    <w:rsid w:val="00242BE8"/>
    <w:rsid w:val="00244A40"/>
    <w:rsid w:val="0024511F"/>
    <w:rsid w:val="002459F9"/>
    <w:rsid w:val="0024680D"/>
    <w:rsid w:val="00246BD7"/>
    <w:rsid w:val="00252213"/>
    <w:rsid w:val="002529D8"/>
    <w:rsid w:val="00253FB2"/>
    <w:rsid w:val="00253FEF"/>
    <w:rsid w:val="00254400"/>
    <w:rsid w:val="00255DD2"/>
    <w:rsid w:val="002606FE"/>
    <w:rsid w:val="00260D6A"/>
    <w:rsid w:val="00260EF4"/>
    <w:rsid w:val="0026113A"/>
    <w:rsid w:val="002624FA"/>
    <w:rsid w:val="00263CE2"/>
    <w:rsid w:val="00263DC1"/>
    <w:rsid w:val="00266369"/>
    <w:rsid w:val="00273D35"/>
    <w:rsid w:val="00273F28"/>
    <w:rsid w:val="00274E4D"/>
    <w:rsid w:val="002752AB"/>
    <w:rsid w:val="002762A7"/>
    <w:rsid w:val="0027689D"/>
    <w:rsid w:val="0027769B"/>
    <w:rsid w:val="00277C4D"/>
    <w:rsid w:val="002810F3"/>
    <w:rsid w:val="00281B1C"/>
    <w:rsid w:val="00282A78"/>
    <w:rsid w:val="00282EA6"/>
    <w:rsid w:val="002859D1"/>
    <w:rsid w:val="00285AC5"/>
    <w:rsid w:val="0028629F"/>
    <w:rsid w:val="0028784C"/>
    <w:rsid w:val="00287B3F"/>
    <w:rsid w:val="00290D2D"/>
    <w:rsid w:val="00290D96"/>
    <w:rsid w:val="002939AC"/>
    <w:rsid w:val="002959EA"/>
    <w:rsid w:val="00296856"/>
    <w:rsid w:val="00296BA6"/>
    <w:rsid w:val="00297881"/>
    <w:rsid w:val="00297AFC"/>
    <w:rsid w:val="002A00FC"/>
    <w:rsid w:val="002A0E06"/>
    <w:rsid w:val="002A0F73"/>
    <w:rsid w:val="002A1AC7"/>
    <w:rsid w:val="002A3BE2"/>
    <w:rsid w:val="002A3F80"/>
    <w:rsid w:val="002A76ED"/>
    <w:rsid w:val="002A7D7C"/>
    <w:rsid w:val="002B2608"/>
    <w:rsid w:val="002B2966"/>
    <w:rsid w:val="002B2DC2"/>
    <w:rsid w:val="002B41C7"/>
    <w:rsid w:val="002B55DC"/>
    <w:rsid w:val="002B64E4"/>
    <w:rsid w:val="002B7287"/>
    <w:rsid w:val="002C31B0"/>
    <w:rsid w:val="002C3263"/>
    <w:rsid w:val="002C4DD4"/>
    <w:rsid w:val="002C5449"/>
    <w:rsid w:val="002C7360"/>
    <w:rsid w:val="002C7E10"/>
    <w:rsid w:val="002D0C26"/>
    <w:rsid w:val="002D1B5D"/>
    <w:rsid w:val="002D4552"/>
    <w:rsid w:val="002D623D"/>
    <w:rsid w:val="002D78B0"/>
    <w:rsid w:val="002E1120"/>
    <w:rsid w:val="002E4F97"/>
    <w:rsid w:val="002E6010"/>
    <w:rsid w:val="002E6020"/>
    <w:rsid w:val="002E744F"/>
    <w:rsid w:val="002E7D72"/>
    <w:rsid w:val="002F2008"/>
    <w:rsid w:val="002F41E9"/>
    <w:rsid w:val="002F44B9"/>
    <w:rsid w:val="002F5749"/>
    <w:rsid w:val="002F6519"/>
    <w:rsid w:val="00300049"/>
    <w:rsid w:val="0030029C"/>
    <w:rsid w:val="00301263"/>
    <w:rsid w:val="003017FC"/>
    <w:rsid w:val="00301C56"/>
    <w:rsid w:val="00302679"/>
    <w:rsid w:val="003030A9"/>
    <w:rsid w:val="00304AE9"/>
    <w:rsid w:val="00304B7E"/>
    <w:rsid w:val="003064D2"/>
    <w:rsid w:val="00306578"/>
    <w:rsid w:val="00307FA3"/>
    <w:rsid w:val="0031095E"/>
    <w:rsid w:val="00311672"/>
    <w:rsid w:val="00311A29"/>
    <w:rsid w:val="00311CEA"/>
    <w:rsid w:val="00312218"/>
    <w:rsid w:val="00312304"/>
    <w:rsid w:val="003128F6"/>
    <w:rsid w:val="00313206"/>
    <w:rsid w:val="00313B0A"/>
    <w:rsid w:val="00314F94"/>
    <w:rsid w:val="00317BD8"/>
    <w:rsid w:val="0032163A"/>
    <w:rsid w:val="003230B0"/>
    <w:rsid w:val="00325412"/>
    <w:rsid w:val="00325678"/>
    <w:rsid w:val="00326341"/>
    <w:rsid w:val="00326518"/>
    <w:rsid w:val="00326D86"/>
    <w:rsid w:val="003314D9"/>
    <w:rsid w:val="0033520D"/>
    <w:rsid w:val="00335F57"/>
    <w:rsid w:val="003377F2"/>
    <w:rsid w:val="00337ADD"/>
    <w:rsid w:val="0034152B"/>
    <w:rsid w:val="00342BED"/>
    <w:rsid w:val="003431CC"/>
    <w:rsid w:val="0034320C"/>
    <w:rsid w:val="00343530"/>
    <w:rsid w:val="00343B07"/>
    <w:rsid w:val="003459EB"/>
    <w:rsid w:val="00345ACC"/>
    <w:rsid w:val="00345C67"/>
    <w:rsid w:val="00346000"/>
    <w:rsid w:val="00346DEE"/>
    <w:rsid w:val="00347169"/>
    <w:rsid w:val="0034761E"/>
    <w:rsid w:val="003502B5"/>
    <w:rsid w:val="003502BD"/>
    <w:rsid w:val="00350968"/>
    <w:rsid w:val="00350A52"/>
    <w:rsid w:val="003514ED"/>
    <w:rsid w:val="00351F83"/>
    <w:rsid w:val="003543F3"/>
    <w:rsid w:val="00354462"/>
    <w:rsid w:val="00354625"/>
    <w:rsid w:val="003558C9"/>
    <w:rsid w:val="00356466"/>
    <w:rsid w:val="00356CA0"/>
    <w:rsid w:val="0035721F"/>
    <w:rsid w:val="003578FB"/>
    <w:rsid w:val="0036041F"/>
    <w:rsid w:val="00360CCA"/>
    <w:rsid w:val="003638BB"/>
    <w:rsid w:val="00363C0F"/>
    <w:rsid w:val="00363D41"/>
    <w:rsid w:val="0036442A"/>
    <w:rsid w:val="003655C1"/>
    <w:rsid w:val="00365993"/>
    <w:rsid w:val="00366727"/>
    <w:rsid w:val="00366A6A"/>
    <w:rsid w:val="00366D49"/>
    <w:rsid w:val="0036748A"/>
    <w:rsid w:val="003674A8"/>
    <w:rsid w:val="00367971"/>
    <w:rsid w:val="003703E0"/>
    <w:rsid w:val="00370C1D"/>
    <w:rsid w:val="003730C1"/>
    <w:rsid w:val="003752D3"/>
    <w:rsid w:val="00375D35"/>
    <w:rsid w:val="00375DDE"/>
    <w:rsid w:val="00376391"/>
    <w:rsid w:val="003764E1"/>
    <w:rsid w:val="00376580"/>
    <w:rsid w:val="003767EE"/>
    <w:rsid w:val="00380731"/>
    <w:rsid w:val="0038225D"/>
    <w:rsid w:val="00382A66"/>
    <w:rsid w:val="00382EF0"/>
    <w:rsid w:val="00383FC0"/>
    <w:rsid w:val="003849E9"/>
    <w:rsid w:val="0038592F"/>
    <w:rsid w:val="00386B83"/>
    <w:rsid w:val="00387ACA"/>
    <w:rsid w:val="003921C0"/>
    <w:rsid w:val="00394E12"/>
    <w:rsid w:val="0039570E"/>
    <w:rsid w:val="00397212"/>
    <w:rsid w:val="003A035A"/>
    <w:rsid w:val="003A0EB7"/>
    <w:rsid w:val="003A1C34"/>
    <w:rsid w:val="003A2DF1"/>
    <w:rsid w:val="003A328E"/>
    <w:rsid w:val="003A62A2"/>
    <w:rsid w:val="003A6DCF"/>
    <w:rsid w:val="003B0862"/>
    <w:rsid w:val="003B1618"/>
    <w:rsid w:val="003B2425"/>
    <w:rsid w:val="003B7A31"/>
    <w:rsid w:val="003C1A02"/>
    <w:rsid w:val="003C373B"/>
    <w:rsid w:val="003C4121"/>
    <w:rsid w:val="003C4F17"/>
    <w:rsid w:val="003C5348"/>
    <w:rsid w:val="003C5A8E"/>
    <w:rsid w:val="003C750B"/>
    <w:rsid w:val="003D03F6"/>
    <w:rsid w:val="003D336F"/>
    <w:rsid w:val="003D6563"/>
    <w:rsid w:val="003D6891"/>
    <w:rsid w:val="003D7FAB"/>
    <w:rsid w:val="003D7FD9"/>
    <w:rsid w:val="003E0FBD"/>
    <w:rsid w:val="003E1650"/>
    <w:rsid w:val="003E34C1"/>
    <w:rsid w:val="003E3FED"/>
    <w:rsid w:val="003E40DD"/>
    <w:rsid w:val="003E46A7"/>
    <w:rsid w:val="003E6278"/>
    <w:rsid w:val="003E76E6"/>
    <w:rsid w:val="003E7DEC"/>
    <w:rsid w:val="003E7FC0"/>
    <w:rsid w:val="003F0909"/>
    <w:rsid w:val="003F0971"/>
    <w:rsid w:val="003F2193"/>
    <w:rsid w:val="003F237C"/>
    <w:rsid w:val="003F3352"/>
    <w:rsid w:val="003F4533"/>
    <w:rsid w:val="003F63C1"/>
    <w:rsid w:val="003F6C75"/>
    <w:rsid w:val="003F734C"/>
    <w:rsid w:val="003F7509"/>
    <w:rsid w:val="0040091A"/>
    <w:rsid w:val="004010A8"/>
    <w:rsid w:val="004019B2"/>
    <w:rsid w:val="0040289F"/>
    <w:rsid w:val="00402C63"/>
    <w:rsid w:val="004071E9"/>
    <w:rsid w:val="0041051F"/>
    <w:rsid w:val="00411264"/>
    <w:rsid w:val="004115F7"/>
    <w:rsid w:val="00411DCC"/>
    <w:rsid w:val="00412B31"/>
    <w:rsid w:val="0041380C"/>
    <w:rsid w:val="00415AAA"/>
    <w:rsid w:val="0041691D"/>
    <w:rsid w:val="00417DC9"/>
    <w:rsid w:val="00420097"/>
    <w:rsid w:val="004201D2"/>
    <w:rsid w:val="004210A6"/>
    <w:rsid w:val="0042114F"/>
    <w:rsid w:val="004237E0"/>
    <w:rsid w:val="00424CA3"/>
    <w:rsid w:val="00424DEC"/>
    <w:rsid w:val="00425D04"/>
    <w:rsid w:val="00425DCD"/>
    <w:rsid w:val="00430C85"/>
    <w:rsid w:val="00430DC6"/>
    <w:rsid w:val="00432B70"/>
    <w:rsid w:val="00434317"/>
    <w:rsid w:val="00435816"/>
    <w:rsid w:val="00436E17"/>
    <w:rsid w:val="00436E2F"/>
    <w:rsid w:val="00436F31"/>
    <w:rsid w:val="004377C9"/>
    <w:rsid w:val="00437981"/>
    <w:rsid w:val="00437A0D"/>
    <w:rsid w:val="00440BD4"/>
    <w:rsid w:val="00442476"/>
    <w:rsid w:val="004428AF"/>
    <w:rsid w:val="00442D28"/>
    <w:rsid w:val="00443077"/>
    <w:rsid w:val="0044349C"/>
    <w:rsid w:val="004447B9"/>
    <w:rsid w:val="00444F53"/>
    <w:rsid w:val="00445FBD"/>
    <w:rsid w:val="00446387"/>
    <w:rsid w:val="0044653F"/>
    <w:rsid w:val="00446B2E"/>
    <w:rsid w:val="00447B0A"/>
    <w:rsid w:val="00450333"/>
    <w:rsid w:val="00450A35"/>
    <w:rsid w:val="00450A6C"/>
    <w:rsid w:val="00451F6E"/>
    <w:rsid w:val="00452183"/>
    <w:rsid w:val="00452477"/>
    <w:rsid w:val="00454B5D"/>
    <w:rsid w:val="00454DCE"/>
    <w:rsid w:val="0045622A"/>
    <w:rsid w:val="00456238"/>
    <w:rsid w:val="00456408"/>
    <w:rsid w:val="00457136"/>
    <w:rsid w:val="004575B3"/>
    <w:rsid w:val="0046136B"/>
    <w:rsid w:val="004648DA"/>
    <w:rsid w:val="00465EC0"/>
    <w:rsid w:val="00465F0C"/>
    <w:rsid w:val="004668A3"/>
    <w:rsid w:val="00466BD4"/>
    <w:rsid w:val="004671CD"/>
    <w:rsid w:val="004703FD"/>
    <w:rsid w:val="00470AEF"/>
    <w:rsid w:val="004711CE"/>
    <w:rsid w:val="0047266B"/>
    <w:rsid w:val="00472823"/>
    <w:rsid w:val="00472B93"/>
    <w:rsid w:val="00473373"/>
    <w:rsid w:val="004741D0"/>
    <w:rsid w:val="004753AC"/>
    <w:rsid w:val="00481F8A"/>
    <w:rsid w:val="00482BB0"/>
    <w:rsid w:val="004846DC"/>
    <w:rsid w:val="00484935"/>
    <w:rsid w:val="00485103"/>
    <w:rsid w:val="00487D2B"/>
    <w:rsid w:val="0049145D"/>
    <w:rsid w:val="004920B2"/>
    <w:rsid w:val="00492E93"/>
    <w:rsid w:val="00493BC1"/>
    <w:rsid w:val="00494536"/>
    <w:rsid w:val="004945D9"/>
    <w:rsid w:val="00494E51"/>
    <w:rsid w:val="004957B7"/>
    <w:rsid w:val="004A2796"/>
    <w:rsid w:val="004A6C2F"/>
    <w:rsid w:val="004A6FB3"/>
    <w:rsid w:val="004B0449"/>
    <w:rsid w:val="004B1073"/>
    <w:rsid w:val="004B10F9"/>
    <w:rsid w:val="004B1209"/>
    <w:rsid w:val="004B16E3"/>
    <w:rsid w:val="004B18B2"/>
    <w:rsid w:val="004B2931"/>
    <w:rsid w:val="004B3AF4"/>
    <w:rsid w:val="004B6AA0"/>
    <w:rsid w:val="004B6F34"/>
    <w:rsid w:val="004B6F75"/>
    <w:rsid w:val="004B7261"/>
    <w:rsid w:val="004B7712"/>
    <w:rsid w:val="004C086A"/>
    <w:rsid w:val="004C20D9"/>
    <w:rsid w:val="004C218F"/>
    <w:rsid w:val="004C306D"/>
    <w:rsid w:val="004C460A"/>
    <w:rsid w:val="004C6A5A"/>
    <w:rsid w:val="004D16C3"/>
    <w:rsid w:val="004D1966"/>
    <w:rsid w:val="004D23F8"/>
    <w:rsid w:val="004D257E"/>
    <w:rsid w:val="004D30C6"/>
    <w:rsid w:val="004D49B9"/>
    <w:rsid w:val="004D510E"/>
    <w:rsid w:val="004D54C2"/>
    <w:rsid w:val="004D7042"/>
    <w:rsid w:val="004E1F39"/>
    <w:rsid w:val="004E21DF"/>
    <w:rsid w:val="004E2679"/>
    <w:rsid w:val="004E26FC"/>
    <w:rsid w:val="004E3193"/>
    <w:rsid w:val="004E57A9"/>
    <w:rsid w:val="004E58EB"/>
    <w:rsid w:val="004E5C02"/>
    <w:rsid w:val="004E5E8E"/>
    <w:rsid w:val="004E6535"/>
    <w:rsid w:val="004E6BCC"/>
    <w:rsid w:val="004E7F8E"/>
    <w:rsid w:val="004F0C10"/>
    <w:rsid w:val="004F0F6D"/>
    <w:rsid w:val="004F1B41"/>
    <w:rsid w:val="004F2C7C"/>
    <w:rsid w:val="004F442D"/>
    <w:rsid w:val="004F5F31"/>
    <w:rsid w:val="004F6573"/>
    <w:rsid w:val="00501C5B"/>
    <w:rsid w:val="005030AA"/>
    <w:rsid w:val="00504291"/>
    <w:rsid w:val="00505D38"/>
    <w:rsid w:val="00506409"/>
    <w:rsid w:val="0050740D"/>
    <w:rsid w:val="00507F3C"/>
    <w:rsid w:val="005101D7"/>
    <w:rsid w:val="005113AA"/>
    <w:rsid w:val="005126BC"/>
    <w:rsid w:val="00513553"/>
    <w:rsid w:val="00515150"/>
    <w:rsid w:val="0051721C"/>
    <w:rsid w:val="00520849"/>
    <w:rsid w:val="00521812"/>
    <w:rsid w:val="005228D0"/>
    <w:rsid w:val="00522903"/>
    <w:rsid w:val="00523172"/>
    <w:rsid w:val="0052475B"/>
    <w:rsid w:val="0052519C"/>
    <w:rsid w:val="00526EB1"/>
    <w:rsid w:val="00526FD4"/>
    <w:rsid w:val="00531440"/>
    <w:rsid w:val="00531993"/>
    <w:rsid w:val="00533A29"/>
    <w:rsid w:val="00533F02"/>
    <w:rsid w:val="0053435D"/>
    <w:rsid w:val="00535B33"/>
    <w:rsid w:val="00535E88"/>
    <w:rsid w:val="0053624C"/>
    <w:rsid w:val="005408AE"/>
    <w:rsid w:val="00541E35"/>
    <w:rsid w:val="00543BF0"/>
    <w:rsid w:val="005453F3"/>
    <w:rsid w:val="00547928"/>
    <w:rsid w:val="00551449"/>
    <w:rsid w:val="00553D60"/>
    <w:rsid w:val="00555390"/>
    <w:rsid w:val="005566B2"/>
    <w:rsid w:val="00556F1A"/>
    <w:rsid w:val="005570B2"/>
    <w:rsid w:val="005576E4"/>
    <w:rsid w:val="005604BB"/>
    <w:rsid w:val="00560B7D"/>
    <w:rsid w:val="00560C92"/>
    <w:rsid w:val="00564488"/>
    <w:rsid w:val="005668AE"/>
    <w:rsid w:val="005705BC"/>
    <w:rsid w:val="00571BE7"/>
    <w:rsid w:val="00572B25"/>
    <w:rsid w:val="00573C07"/>
    <w:rsid w:val="0057418B"/>
    <w:rsid w:val="00575422"/>
    <w:rsid w:val="005806AA"/>
    <w:rsid w:val="00581DC2"/>
    <w:rsid w:val="0058211E"/>
    <w:rsid w:val="00582B50"/>
    <w:rsid w:val="00582F4A"/>
    <w:rsid w:val="005843A3"/>
    <w:rsid w:val="00584F01"/>
    <w:rsid w:val="0058571F"/>
    <w:rsid w:val="0058745A"/>
    <w:rsid w:val="00590A56"/>
    <w:rsid w:val="0059180F"/>
    <w:rsid w:val="005918C5"/>
    <w:rsid w:val="00592606"/>
    <w:rsid w:val="00593D6D"/>
    <w:rsid w:val="00594ABF"/>
    <w:rsid w:val="005A2E06"/>
    <w:rsid w:val="005A3270"/>
    <w:rsid w:val="005A35E1"/>
    <w:rsid w:val="005A5A16"/>
    <w:rsid w:val="005A5FDD"/>
    <w:rsid w:val="005A6D80"/>
    <w:rsid w:val="005A78E9"/>
    <w:rsid w:val="005B1C5A"/>
    <w:rsid w:val="005B205B"/>
    <w:rsid w:val="005B3339"/>
    <w:rsid w:val="005B35A9"/>
    <w:rsid w:val="005B560A"/>
    <w:rsid w:val="005B7406"/>
    <w:rsid w:val="005C1341"/>
    <w:rsid w:val="005C161E"/>
    <w:rsid w:val="005C1772"/>
    <w:rsid w:val="005C20FF"/>
    <w:rsid w:val="005C397E"/>
    <w:rsid w:val="005C3AD2"/>
    <w:rsid w:val="005C460C"/>
    <w:rsid w:val="005C4BDA"/>
    <w:rsid w:val="005C4E73"/>
    <w:rsid w:val="005C6FEE"/>
    <w:rsid w:val="005C70FA"/>
    <w:rsid w:val="005C78A7"/>
    <w:rsid w:val="005D13DF"/>
    <w:rsid w:val="005D3AE9"/>
    <w:rsid w:val="005D575D"/>
    <w:rsid w:val="005D5D06"/>
    <w:rsid w:val="005D644E"/>
    <w:rsid w:val="005D6CAF"/>
    <w:rsid w:val="005E06EB"/>
    <w:rsid w:val="005E0954"/>
    <w:rsid w:val="005E32E0"/>
    <w:rsid w:val="005E3ACE"/>
    <w:rsid w:val="005E4027"/>
    <w:rsid w:val="005E4331"/>
    <w:rsid w:val="005E4F00"/>
    <w:rsid w:val="005E5168"/>
    <w:rsid w:val="005E65AA"/>
    <w:rsid w:val="005E69C3"/>
    <w:rsid w:val="005E7C02"/>
    <w:rsid w:val="005F1189"/>
    <w:rsid w:val="005F37A5"/>
    <w:rsid w:val="005F423A"/>
    <w:rsid w:val="005F4A8F"/>
    <w:rsid w:val="005F6002"/>
    <w:rsid w:val="005F60EE"/>
    <w:rsid w:val="005F76BF"/>
    <w:rsid w:val="006015F8"/>
    <w:rsid w:val="0060528B"/>
    <w:rsid w:val="00606829"/>
    <w:rsid w:val="00606D78"/>
    <w:rsid w:val="0060787E"/>
    <w:rsid w:val="00607AB5"/>
    <w:rsid w:val="00610CFE"/>
    <w:rsid w:val="006141D2"/>
    <w:rsid w:val="0061584A"/>
    <w:rsid w:val="00616EE4"/>
    <w:rsid w:val="00621F04"/>
    <w:rsid w:val="0062301F"/>
    <w:rsid w:val="00623524"/>
    <w:rsid w:val="00623986"/>
    <w:rsid w:val="00626C68"/>
    <w:rsid w:val="00626E6E"/>
    <w:rsid w:val="00626EBA"/>
    <w:rsid w:val="00630E32"/>
    <w:rsid w:val="00631182"/>
    <w:rsid w:val="00631423"/>
    <w:rsid w:val="00631801"/>
    <w:rsid w:val="00632ABA"/>
    <w:rsid w:val="0063407B"/>
    <w:rsid w:val="00637009"/>
    <w:rsid w:val="006404C4"/>
    <w:rsid w:val="00641274"/>
    <w:rsid w:val="00642BBB"/>
    <w:rsid w:val="00642F2C"/>
    <w:rsid w:val="0064456E"/>
    <w:rsid w:val="00645043"/>
    <w:rsid w:val="0064555B"/>
    <w:rsid w:val="00645F0C"/>
    <w:rsid w:val="00647041"/>
    <w:rsid w:val="00647611"/>
    <w:rsid w:val="00650540"/>
    <w:rsid w:val="00651487"/>
    <w:rsid w:val="00651773"/>
    <w:rsid w:val="006517CB"/>
    <w:rsid w:val="006517FA"/>
    <w:rsid w:val="0065212A"/>
    <w:rsid w:val="006521B7"/>
    <w:rsid w:val="0065459A"/>
    <w:rsid w:val="006564C8"/>
    <w:rsid w:val="006602FF"/>
    <w:rsid w:val="006605B5"/>
    <w:rsid w:val="00661E42"/>
    <w:rsid w:val="006629BC"/>
    <w:rsid w:val="00663C0C"/>
    <w:rsid w:val="00664837"/>
    <w:rsid w:val="0066691B"/>
    <w:rsid w:val="006721A4"/>
    <w:rsid w:val="006725A3"/>
    <w:rsid w:val="00672C27"/>
    <w:rsid w:val="006736B6"/>
    <w:rsid w:val="00674B87"/>
    <w:rsid w:val="00674E47"/>
    <w:rsid w:val="00683309"/>
    <w:rsid w:val="00683649"/>
    <w:rsid w:val="00684598"/>
    <w:rsid w:val="00685B58"/>
    <w:rsid w:val="00685C5C"/>
    <w:rsid w:val="006868FC"/>
    <w:rsid w:val="00686C7B"/>
    <w:rsid w:val="006879EE"/>
    <w:rsid w:val="006901AD"/>
    <w:rsid w:val="00690D54"/>
    <w:rsid w:val="00691DC3"/>
    <w:rsid w:val="006924B4"/>
    <w:rsid w:val="006940D0"/>
    <w:rsid w:val="006949B0"/>
    <w:rsid w:val="006967C5"/>
    <w:rsid w:val="00696DB8"/>
    <w:rsid w:val="00697FF3"/>
    <w:rsid w:val="006A11EB"/>
    <w:rsid w:val="006A2958"/>
    <w:rsid w:val="006A3C6A"/>
    <w:rsid w:val="006A50A4"/>
    <w:rsid w:val="006A5133"/>
    <w:rsid w:val="006A564B"/>
    <w:rsid w:val="006B1428"/>
    <w:rsid w:val="006B1E4D"/>
    <w:rsid w:val="006B41DE"/>
    <w:rsid w:val="006B4D54"/>
    <w:rsid w:val="006B50C1"/>
    <w:rsid w:val="006B7A77"/>
    <w:rsid w:val="006C03C5"/>
    <w:rsid w:val="006C041A"/>
    <w:rsid w:val="006C0484"/>
    <w:rsid w:val="006C14C2"/>
    <w:rsid w:val="006C1FAC"/>
    <w:rsid w:val="006C21C9"/>
    <w:rsid w:val="006C3009"/>
    <w:rsid w:val="006C45E6"/>
    <w:rsid w:val="006C4666"/>
    <w:rsid w:val="006C4C05"/>
    <w:rsid w:val="006C525F"/>
    <w:rsid w:val="006C5331"/>
    <w:rsid w:val="006C5362"/>
    <w:rsid w:val="006C5FAE"/>
    <w:rsid w:val="006D0592"/>
    <w:rsid w:val="006D1988"/>
    <w:rsid w:val="006D30F1"/>
    <w:rsid w:val="006D32E5"/>
    <w:rsid w:val="006D4351"/>
    <w:rsid w:val="006D470C"/>
    <w:rsid w:val="006D478A"/>
    <w:rsid w:val="006D4A5C"/>
    <w:rsid w:val="006D4C8C"/>
    <w:rsid w:val="006D6820"/>
    <w:rsid w:val="006D6A47"/>
    <w:rsid w:val="006E12FE"/>
    <w:rsid w:val="006E19D5"/>
    <w:rsid w:val="006E2556"/>
    <w:rsid w:val="006E3D2C"/>
    <w:rsid w:val="006E4EE9"/>
    <w:rsid w:val="006E51D8"/>
    <w:rsid w:val="006E6070"/>
    <w:rsid w:val="006E7530"/>
    <w:rsid w:val="006E7AA2"/>
    <w:rsid w:val="006E7AC0"/>
    <w:rsid w:val="006F1258"/>
    <w:rsid w:val="006F18BD"/>
    <w:rsid w:val="006F4170"/>
    <w:rsid w:val="006F43C8"/>
    <w:rsid w:val="006F5311"/>
    <w:rsid w:val="006F5DC9"/>
    <w:rsid w:val="006F6CC1"/>
    <w:rsid w:val="007019FE"/>
    <w:rsid w:val="0070211C"/>
    <w:rsid w:val="00703F54"/>
    <w:rsid w:val="0070532A"/>
    <w:rsid w:val="00705E9C"/>
    <w:rsid w:val="007060B1"/>
    <w:rsid w:val="00707719"/>
    <w:rsid w:val="007078BD"/>
    <w:rsid w:val="007104BC"/>
    <w:rsid w:val="0071084E"/>
    <w:rsid w:val="0071234E"/>
    <w:rsid w:val="007128C8"/>
    <w:rsid w:val="0071437D"/>
    <w:rsid w:val="00715A67"/>
    <w:rsid w:val="00716248"/>
    <w:rsid w:val="007214C3"/>
    <w:rsid w:val="00724DA1"/>
    <w:rsid w:val="00726068"/>
    <w:rsid w:val="00726F3F"/>
    <w:rsid w:val="00727C9A"/>
    <w:rsid w:val="00730FF5"/>
    <w:rsid w:val="00731369"/>
    <w:rsid w:val="007333C9"/>
    <w:rsid w:val="007334A0"/>
    <w:rsid w:val="00733D65"/>
    <w:rsid w:val="0073432B"/>
    <w:rsid w:val="007359D0"/>
    <w:rsid w:val="00736A54"/>
    <w:rsid w:val="00737367"/>
    <w:rsid w:val="0073798F"/>
    <w:rsid w:val="0074050F"/>
    <w:rsid w:val="007413D4"/>
    <w:rsid w:val="00743542"/>
    <w:rsid w:val="00744956"/>
    <w:rsid w:val="00746199"/>
    <w:rsid w:val="007469EA"/>
    <w:rsid w:val="00746C9F"/>
    <w:rsid w:val="00747DD1"/>
    <w:rsid w:val="0075433A"/>
    <w:rsid w:val="007563EA"/>
    <w:rsid w:val="00757292"/>
    <w:rsid w:val="00761D47"/>
    <w:rsid w:val="0076269F"/>
    <w:rsid w:val="00763454"/>
    <w:rsid w:val="00763B7B"/>
    <w:rsid w:val="00763DC3"/>
    <w:rsid w:val="0076413A"/>
    <w:rsid w:val="00764BF9"/>
    <w:rsid w:val="0076636D"/>
    <w:rsid w:val="00770B35"/>
    <w:rsid w:val="007713E3"/>
    <w:rsid w:val="00771430"/>
    <w:rsid w:val="007720EA"/>
    <w:rsid w:val="00775CD6"/>
    <w:rsid w:val="00776FAD"/>
    <w:rsid w:val="00777705"/>
    <w:rsid w:val="00777948"/>
    <w:rsid w:val="007805EA"/>
    <w:rsid w:val="007845E8"/>
    <w:rsid w:val="007869DF"/>
    <w:rsid w:val="007870E0"/>
    <w:rsid w:val="00791CBE"/>
    <w:rsid w:val="0079202F"/>
    <w:rsid w:val="00796F7A"/>
    <w:rsid w:val="007970D6"/>
    <w:rsid w:val="00797823"/>
    <w:rsid w:val="007978FE"/>
    <w:rsid w:val="00797C48"/>
    <w:rsid w:val="007A01AC"/>
    <w:rsid w:val="007A05A6"/>
    <w:rsid w:val="007A11B0"/>
    <w:rsid w:val="007A3591"/>
    <w:rsid w:val="007A4264"/>
    <w:rsid w:val="007A492A"/>
    <w:rsid w:val="007A4F2F"/>
    <w:rsid w:val="007A5370"/>
    <w:rsid w:val="007A5A18"/>
    <w:rsid w:val="007B0763"/>
    <w:rsid w:val="007B0BBA"/>
    <w:rsid w:val="007B1639"/>
    <w:rsid w:val="007B1E11"/>
    <w:rsid w:val="007B2298"/>
    <w:rsid w:val="007B2D72"/>
    <w:rsid w:val="007B31FB"/>
    <w:rsid w:val="007B6B5E"/>
    <w:rsid w:val="007B716A"/>
    <w:rsid w:val="007C13D5"/>
    <w:rsid w:val="007C16B8"/>
    <w:rsid w:val="007C1E03"/>
    <w:rsid w:val="007C34D3"/>
    <w:rsid w:val="007C3DA7"/>
    <w:rsid w:val="007C4129"/>
    <w:rsid w:val="007C42C8"/>
    <w:rsid w:val="007C4889"/>
    <w:rsid w:val="007C4AB2"/>
    <w:rsid w:val="007C50BD"/>
    <w:rsid w:val="007C6235"/>
    <w:rsid w:val="007C72FB"/>
    <w:rsid w:val="007D0F26"/>
    <w:rsid w:val="007D0FC1"/>
    <w:rsid w:val="007D11A4"/>
    <w:rsid w:val="007D21EB"/>
    <w:rsid w:val="007D2B40"/>
    <w:rsid w:val="007D361C"/>
    <w:rsid w:val="007D3C70"/>
    <w:rsid w:val="007D70FA"/>
    <w:rsid w:val="007E0AD1"/>
    <w:rsid w:val="007E15F9"/>
    <w:rsid w:val="007E2DD5"/>
    <w:rsid w:val="007E2E4B"/>
    <w:rsid w:val="007E318E"/>
    <w:rsid w:val="007E4457"/>
    <w:rsid w:val="007F0D25"/>
    <w:rsid w:val="007F0DD2"/>
    <w:rsid w:val="007F10E7"/>
    <w:rsid w:val="007F26D5"/>
    <w:rsid w:val="007F41B2"/>
    <w:rsid w:val="007F41FA"/>
    <w:rsid w:val="007F47A6"/>
    <w:rsid w:val="007F4B39"/>
    <w:rsid w:val="007F519C"/>
    <w:rsid w:val="007F5E0F"/>
    <w:rsid w:val="007F678D"/>
    <w:rsid w:val="00801E68"/>
    <w:rsid w:val="00804D35"/>
    <w:rsid w:val="008057EB"/>
    <w:rsid w:val="00805D6F"/>
    <w:rsid w:val="0080640A"/>
    <w:rsid w:val="00806702"/>
    <w:rsid w:val="008101ED"/>
    <w:rsid w:val="00810C08"/>
    <w:rsid w:val="00810D27"/>
    <w:rsid w:val="00811164"/>
    <w:rsid w:val="008150FF"/>
    <w:rsid w:val="00815CBB"/>
    <w:rsid w:val="00816087"/>
    <w:rsid w:val="00816488"/>
    <w:rsid w:val="0081660A"/>
    <w:rsid w:val="00816800"/>
    <w:rsid w:val="0081731C"/>
    <w:rsid w:val="008177B4"/>
    <w:rsid w:val="00817D3B"/>
    <w:rsid w:val="00817DBE"/>
    <w:rsid w:val="00820A5E"/>
    <w:rsid w:val="00822228"/>
    <w:rsid w:val="00823AC5"/>
    <w:rsid w:val="008267BE"/>
    <w:rsid w:val="00826C4C"/>
    <w:rsid w:val="00832755"/>
    <w:rsid w:val="00832C5D"/>
    <w:rsid w:val="00833057"/>
    <w:rsid w:val="00836163"/>
    <w:rsid w:val="008366DD"/>
    <w:rsid w:val="00836C91"/>
    <w:rsid w:val="00840F8B"/>
    <w:rsid w:val="00841741"/>
    <w:rsid w:val="00841B14"/>
    <w:rsid w:val="00841D55"/>
    <w:rsid w:val="0084305E"/>
    <w:rsid w:val="00843FC8"/>
    <w:rsid w:val="00844912"/>
    <w:rsid w:val="00845144"/>
    <w:rsid w:val="00845F5B"/>
    <w:rsid w:val="008474B5"/>
    <w:rsid w:val="008517FD"/>
    <w:rsid w:val="00852644"/>
    <w:rsid w:val="0085381B"/>
    <w:rsid w:val="00854B98"/>
    <w:rsid w:val="008559B1"/>
    <w:rsid w:val="00856F63"/>
    <w:rsid w:val="008604EA"/>
    <w:rsid w:val="00861140"/>
    <w:rsid w:val="00861E59"/>
    <w:rsid w:val="0086387C"/>
    <w:rsid w:val="0086413C"/>
    <w:rsid w:val="00865A9B"/>
    <w:rsid w:val="00865E1C"/>
    <w:rsid w:val="00866B3C"/>
    <w:rsid w:val="00867A26"/>
    <w:rsid w:val="00867EF3"/>
    <w:rsid w:val="00870E03"/>
    <w:rsid w:val="00871527"/>
    <w:rsid w:val="00873839"/>
    <w:rsid w:val="00876629"/>
    <w:rsid w:val="00880E17"/>
    <w:rsid w:val="00884569"/>
    <w:rsid w:val="00884E7D"/>
    <w:rsid w:val="0088539A"/>
    <w:rsid w:val="00887C80"/>
    <w:rsid w:val="00890509"/>
    <w:rsid w:val="008907AE"/>
    <w:rsid w:val="00891100"/>
    <w:rsid w:val="008932C1"/>
    <w:rsid w:val="00893EC4"/>
    <w:rsid w:val="00893EE3"/>
    <w:rsid w:val="0089509C"/>
    <w:rsid w:val="008A103D"/>
    <w:rsid w:val="008A2950"/>
    <w:rsid w:val="008A2DC6"/>
    <w:rsid w:val="008A4698"/>
    <w:rsid w:val="008A56A7"/>
    <w:rsid w:val="008A6E1D"/>
    <w:rsid w:val="008A6F5E"/>
    <w:rsid w:val="008A6FAA"/>
    <w:rsid w:val="008A7027"/>
    <w:rsid w:val="008A7686"/>
    <w:rsid w:val="008B0509"/>
    <w:rsid w:val="008B0B4C"/>
    <w:rsid w:val="008B0C20"/>
    <w:rsid w:val="008B1404"/>
    <w:rsid w:val="008B28D7"/>
    <w:rsid w:val="008B4233"/>
    <w:rsid w:val="008B426B"/>
    <w:rsid w:val="008B44E0"/>
    <w:rsid w:val="008B55EA"/>
    <w:rsid w:val="008B6297"/>
    <w:rsid w:val="008B6ABD"/>
    <w:rsid w:val="008C02E5"/>
    <w:rsid w:val="008C0BEE"/>
    <w:rsid w:val="008C1AEA"/>
    <w:rsid w:val="008C4AC6"/>
    <w:rsid w:val="008C5C90"/>
    <w:rsid w:val="008C73E0"/>
    <w:rsid w:val="008C797F"/>
    <w:rsid w:val="008D00F2"/>
    <w:rsid w:val="008D150A"/>
    <w:rsid w:val="008D1C7D"/>
    <w:rsid w:val="008D599B"/>
    <w:rsid w:val="008D5FCD"/>
    <w:rsid w:val="008D7DF7"/>
    <w:rsid w:val="008E011B"/>
    <w:rsid w:val="008E088E"/>
    <w:rsid w:val="008E0D10"/>
    <w:rsid w:val="008E1119"/>
    <w:rsid w:val="008E1ED9"/>
    <w:rsid w:val="008E26B7"/>
    <w:rsid w:val="008E39D6"/>
    <w:rsid w:val="008E486F"/>
    <w:rsid w:val="008E498F"/>
    <w:rsid w:val="008E4E0B"/>
    <w:rsid w:val="008E4ED4"/>
    <w:rsid w:val="008E51EE"/>
    <w:rsid w:val="008E6DC1"/>
    <w:rsid w:val="008E6E6F"/>
    <w:rsid w:val="008E77B3"/>
    <w:rsid w:val="008F04A8"/>
    <w:rsid w:val="008F058E"/>
    <w:rsid w:val="008F1E1D"/>
    <w:rsid w:val="008F2A7E"/>
    <w:rsid w:val="008F33D5"/>
    <w:rsid w:val="008F4085"/>
    <w:rsid w:val="009006FE"/>
    <w:rsid w:val="009011F7"/>
    <w:rsid w:val="00901663"/>
    <w:rsid w:val="00901707"/>
    <w:rsid w:val="00902023"/>
    <w:rsid w:val="00902B7C"/>
    <w:rsid w:val="00906176"/>
    <w:rsid w:val="00906493"/>
    <w:rsid w:val="00910F5A"/>
    <w:rsid w:val="009117D1"/>
    <w:rsid w:val="00912872"/>
    <w:rsid w:val="0091287C"/>
    <w:rsid w:val="00912951"/>
    <w:rsid w:val="00912AE2"/>
    <w:rsid w:val="00912F29"/>
    <w:rsid w:val="00913DAE"/>
    <w:rsid w:val="00913F7F"/>
    <w:rsid w:val="009171D2"/>
    <w:rsid w:val="0091756E"/>
    <w:rsid w:val="00921538"/>
    <w:rsid w:val="00922275"/>
    <w:rsid w:val="0092254E"/>
    <w:rsid w:val="009241E5"/>
    <w:rsid w:val="00925DF9"/>
    <w:rsid w:val="00930B9E"/>
    <w:rsid w:val="00930C29"/>
    <w:rsid w:val="009316A1"/>
    <w:rsid w:val="00933463"/>
    <w:rsid w:val="009348E0"/>
    <w:rsid w:val="00934E27"/>
    <w:rsid w:val="00935608"/>
    <w:rsid w:val="0093648D"/>
    <w:rsid w:val="00941486"/>
    <w:rsid w:val="009421ED"/>
    <w:rsid w:val="00942407"/>
    <w:rsid w:val="009436D4"/>
    <w:rsid w:val="00945D82"/>
    <w:rsid w:val="00946290"/>
    <w:rsid w:val="00947756"/>
    <w:rsid w:val="0094790A"/>
    <w:rsid w:val="00950E13"/>
    <w:rsid w:val="00951C91"/>
    <w:rsid w:val="00951E46"/>
    <w:rsid w:val="0095269F"/>
    <w:rsid w:val="0095294A"/>
    <w:rsid w:val="00953295"/>
    <w:rsid w:val="009535B3"/>
    <w:rsid w:val="00955783"/>
    <w:rsid w:val="00955A4B"/>
    <w:rsid w:val="00956327"/>
    <w:rsid w:val="00957835"/>
    <w:rsid w:val="00957AA1"/>
    <w:rsid w:val="00957D18"/>
    <w:rsid w:val="009603EB"/>
    <w:rsid w:val="009607B0"/>
    <w:rsid w:val="00961945"/>
    <w:rsid w:val="0096297E"/>
    <w:rsid w:val="00964AE2"/>
    <w:rsid w:val="0096518C"/>
    <w:rsid w:val="00965F08"/>
    <w:rsid w:val="00970DA4"/>
    <w:rsid w:val="0097130C"/>
    <w:rsid w:val="00971941"/>
    <w:rsid w:val="00974972"/>
    <w:rsid w:val="00974EFA"/>
    <w:rsid w:val="009752A5"/>
    <w:rsid w:val="00976423"/>
    <w:rsid w:val="00976682"/>
    <w:rsid w:val="00976771"/>
    <w:rsid w:val="00976FB6"/>
    <w:rsid w:val="00977643"/>
    <w:rsid w:val="009801CB"/>
    <w:rsid w:val="00980A0D"/>
    <w:rsid w:val="00980A60"/>
    <w:rsid w:val="009815AD"/>
    <w:rsid w:val="00981B1E"/>
    <w:rsid w:val="00982407"/>
    <w:rsid w:val="009826B3"/>
    <w:rsid w:val="00983C78"/>
    <w:rsid w:val="00984AFA"/>
    <w:rsid w:val="009855B8"/>
    <w:rsid w:val="00986CC4"/>
    <w:rsid w:val="00987228"/>
    <w:rsid w:val="00987CCF"/>
    <w:rsid w:val="00990C03"/>
    <w:rsid w:val="00991602"/>
    <w:rsid w:val="009925C1"/>
    <w:rsid w:val="0099288A"/>
    <w:rsid w:val="00994DBC"/>
    <w:rsid w:val="00995757"/>
    <w:rsid w:val="00995F30"/>
    <w:rsid w:val="00996624"/>
    <w:rsid w:val="0099750A"/>
    <w:rsid w:val="009A04E4"/>
    <w:rsid w:val="009A09BF"/>
    <w:rsid w:val="009A0F61"/>
    <w:rsid w:val="009A13AF"/>
    <w:rsid w:val="009A1920"/>
    <w:rsid w:val="009A20AB"/>
    <w:rsid w:val="009A44E7"/>
    <w:rsid w:val="009A4611"/>
    <w:rsid w:val="009A46B4"/>
    <w:rsid w:val="009A51C0"/>
    <w:rsid w:val="009A52FC"/>
    <w:rsid w:val="009A56F3"/>
    <w:rsid w:val="009A5C8D"/>
    <w:rsid w:val="009A62DD"/>
    <w:rsid w:val="009A64AB"/>
    <w:rsid w:val="009A6571"/>
    <w:rsid w:val="009A675D"/>
    <w:rsid w:val="009A6BA5"/>
    <w:rsid w:val="009A6E49"/>
    <w:rsid w:val="009B13F6"/>
    <w:rsid w:val="009B1670"/>
    <w:rsid w:val="009B16DD"/>
    <w:rsid w:val="009B1DC0"/>
    <w:rsid w:val="009B2783"/>
    <w:rsid w:val="009B4F43"/>
    <w:rsid w:val="009B5598"/>
    <w:rsid w:val="009B564D"/>
    <w:rsid w:val="009B5A38"/>
    <w:rsid w:val="009B5AEA"/>
    <w:rsid w:val="009B7252"/>
    <w:rsid w:val="009C0070"/>
    <w:rsid w:val="009C1AEA"/>
    <w:rsid w:val="009C27B1"/>
    <w:rsid w:val="009C59F8"/>
    <w:rsid w:val="009C6512"/>
    <w:rsid w:val="009C658D"/>
    <w:rsid w:val="009C6C27"/>
    <w:rsid w:val="009C7D05"/>
    <w:rsid w:val="009D0797"/>
    <w:rsid w:val="009D28EB"/>
    <w:rsid w:val="009D38D6"/>
    <w:rsid w:val="009D7DE5"/>
    <w:rsid w:val="009D7E77"/>
    <w:rsid w:val="009E076B"/>
    <w:rsid w:val="009E40EA"/>
    <w:rsid w:val="009E4BB6"/>
    <w:rsid w:val="009E4C99"/>
    <w:rsid w:val="009E57B2"/>
    <w:rsid w:val="009E65C0"/>
    <w:rsid w:val="009E77A9"/>
    <w:rsid w:val="009F1397"/>
    <w:rsid w:val="009F3AFC"/>
    <w:rsid w:val="009F5986"/>
    <w:rsid w:val="009F7990"/>
    <w:rsid w:val="00A00CE2"/>
    <w:rsid w:val="00A02B50"/>
    <w:rsid w:val="00A02CA5"/>
    <w:rsid w:val="00A0426C"/>
    <w:rsid w:val="00A04C9E"/>
    <w:rsid w:val="00A056CC"/>
    <w:rsid w:val="00A05738"/>
    <w:rsid w:val="00A05AF7"/>
    <w:rsid w:val="00A05DFF"/>
    <w:rsid w:val="00A06839"/>
    <w:rsid w:val="00A06DCF"/>
    <w:rsid w:val="00A070B3"/>
    <w:rsid w:val="00A07C2F"/>
    <w:rsid w:val="00A07F2C"/>
    <w:rsid w:val="00A101EA"/>
    <w:rsid w:val="00A11474"/>
    <w:rsid w:val="00A11D7E"/>
    <w:rsid w:val="00A156E1"/>
    <w:rsid w:val="00A16457"/>
    <w:rsid w:val="00A168E7"/>
    <w:rsid w:val="00A16A54"/>
    <w:rsid w:val="00A1717B"/>
    <w:rsid w:val="00A24A93"/>
    <w:rsid w:val="00A25972"/>
    <w:rsid w:val="00A25EF6"/>
    <w:rsid w:val="00A275EC"/>
    <w:rsid w:val="00A27A35"/>
    <w:rsid w:val="00A30463"/>
    <w:rsid w:val="00A304B0"/>
    <w:rsid w:val="00A306F2"/>
    <w:rsid w:val="00A31898"/>
    <w:rsid w:val="00A325D3"/>
    <w:rsid w:val="00A32694"/>
    <w:rsid w:val="00A330C4"/>
    <w:rsid w:val="00A34DE2"/>
    <w:rsid w:val="00A358DA"/>
    <w:rsid w:val="00A374F5"/>
    <w:rsid w:val="00A37595"/>
    <w:rsid w:val="00A44102"/>
    <w:rsid w:val="00A45C19"/>
    <w:rsid w:val="00A52A62"/>
    <w:rsid w:val="00A52F8C"/>
    <w:rsid w:val="00A56EE6"/>
    <w:rsid w:val="00A60090"/>
    <w:rsid w:val="00A60EDD"/>
    <w:rsid w:val="00A618D9"/>
    <w:rsid w:val="00A6280D"/>
    <w:rsid w:val="00A635F4"/>
    <w:rsid w:val="00A650A7"/>
    <w:rsid w:val="00A66400"/>
    <w:rsid w:val="00A66C63"/>
    <w:rsid w:val="00A70633"/>
    <w:rsid w:val="00A70845"/>
    <w:rsid w:val="00A72780"/>
    <w:rsid w:val="00A747C6"/>
    <w:rsid w:val="00A810C8"/>
    <w:rsid w:val="00A816B8"/>
    <w:rsid w:val="00A81A7E"/>
    <w:rsid w:val="00A82F2B"/>
    <w:rsid w:val="00A83A4C"/>
    <w:rsid w:val="00A8417B"/>
    <w:rsid w:val="00A844DB"/>
    <w:rsid w:val="00A84CE9"/>
    <w:rsid w:val="00A84D7A"/>
    <w:rsid w:val="00A85589"/>
    <w:rsid w:val="00A85877"/>
    <w:rsid w:val="00A859D2"/>
    <w:rsid w:val="00A86562"/>
    <w:rsid w:val="00A86C46"/>
    <w:rsid w:val="00A876EB"/>
    <w:rsid w:val="00A900FA"/>
    <w:rsid w:val="00A902C8"/>
    <w:rsid w:val="00A90531"/>
    <w:rsid w:val="00A90C3E"/>
    <w:rsid w:val="00A91637"/>
    <w:rsid w:val="00A9361F"/>
    <w:rsid w:val="00A93F90"/>
    <w:rsid w:val="00A94805"/>
    <w:rsid w:val="00A96D16"/>
    <w:rsid w:val="00AA091B"/>
    <w:rsid w:val="00AA0F11"/>
    <w:rsid w:val="00AA1BA5"/>
    <w:rsid w:val="00AA2062"/>
    <w:rsid w:val="00AA2E11"/>
    <w:rsid w:val="00AA3D19"/>
    <w:rsid w:val="00AA458A"/>
    <w:rsid w:val="00AA498F"/>
    <w:rsid w:val="00AA5233"/>
    <w:rsid w:val="00AA7CA2"/>
    <w:rsid w:val="00AA7D4E"/>
    <w:rsid w:val="00AB02FB"/>
    <w:rsid w:val="00AB0F07"/>
    <w:rsid w:val="00AB1820"/>
    <w:rsid w:val="00AB1AF3"/>
    <w:rsid w:val="00AB2A47"/>
    <w:rsid w:val="00AB31B8"/>
    <w:rsid w:val="00AB44D0"/>
    <w:rsid w:val="00AB4543"/>
    <w:rsid w:val="00AB55DC"/>
    <w:rsid w:val="00AB629C"/>
    <w:rsid w:val="00AB6579"/>
    <w:rsid w:val="00AB74BD"/>
    <w:rsid w:val="00AC2187"/>
    <w:rsid w:val="00AC3790"/>
    <w:rsid w:val="00AC39C7"/>
    <w:rsid w:val="00AC4D88"/>
    <w:rsid w:val="00AC5D00"/>
    <w:rsid w:val="00AC6985"/>
    <w:rsid w:val="00AC7485"/>
    <w:rsid w:val="00AC787A"/>
    <w:rsid w:val="00AD154A"/>
    <w:rsid w:val="00AD2E67"/>
    <w:rsid w:val="00AD2EBE"/>
    <w:rsid w:val="00AD3E02"/>
    <w:rsid w:val="00AD3E97"/>
    <w:rsid w:val="00AD56C4"/>
    <w:rsid w:val="00AD6C48"/>
    <w:rsid w:val="00AE0E56"/>
    <w:rsid w:val="00AE12B5"/>
    <w:rsid w:val="00AE2912"/>
    <w:rsid w:val="00AE30A5"/>
    <w:rsid w:val="00AE3EE3"/>
    <w:rsid w:val="00AE4917"/>
    <w:rsid w:val="00AE4C01"/>
    <w:rsid w:val="00AE5E45"/>
    <w:rsid w:val="00AE6702"/>
    <w:rsid w:val="00AE74A4"/>
    <w:rsid w:val="00AE786B"/>
    <w:rsid w:val="00AE7933"/>
    <w:rsid w:val="00AF00D7"/>
    <w:rsid w:val="00AF3BC8"/>
    <w:rsid w:val="00AF5BC4"/>
    <w:rsid w:val="00B00915"/>
    <w:rsid w:val="00B02616"/>
    <w:rsid w:val="00B02867"/>
    <w:rsid w:val="00B02F32"/>
    <w:rsid w:val="00B03C53"/>
    <w:rsid w:val="00B04058"/>
    <w:rsid w:val="00B042ED"/>
    <w:rsid w:val="00B066AB"/>
    <w:rsid w:val="00B10DDF"/>
    <w:rsid w:val="00B11B6D"/>
    <w:rsid w:val="00B122EF"/>
    <w:rsid w:val="00B14275"/>
    <w:rsid w:val="00B16544"/>
    <w:rsid w:val="00B22830"/>
    <w:rsid w:val="00B24770"/>
    <w:rsid w:val="00B25412"/>
    <w:rsid w:val="00B26B54"/>
    <w:rsid w:val="00B26EE8"/>
    <w:rsid w:val="00B32B2B"/>
    <w:rsid w:val="00B34BEB"/>
    <w:rsid w:val="00B36E1D"/>
    <w:rsid w:val="00B376D7"/>
    <w:rsid w:val="00B377B8"/>
    <w:rsid w:val="00B40ED2"/>
    <w:rsid w:val="00B423EC"/>
    <w:rsid w:val="00B426C0"/>
    <w:rsid w:val="00B4348A"/>
    <w:rsid w:val="00B43900"/>
    <w:rsid w:val="00B4400D"/>
    <w:rsid w:val="00B44D27"/>
    <w:rsid w:val="00B4695E"/>
    <w:rsid w:val="00B4758E"/>
    <w:rsid w:val="00B51641"/>
    <w:rsid w:val="00B553B8"/>
    <w:rsid w:val="00B5766B"/>
    <w:rsid w:val="00B57CAC"/>
    <w:rsid w:val="00B607AA"/>
    <w:rsid w:val="00B60DFF"/>
    <w:rsid w:val="00B616CC"/>
    <w:rsid w:val="00B61B16"/>
    <w:rsid w:val="00B6225D"/>
    <w:rsid w:val="00B66201"/>
    <w:rsid w:val="00B66DBB"/>
    <w:rsid w:val="00B678E9"/>
    <w:rsid w:val="00B67F28"/>
    <w:rsid w:val="00B7009A"/>
    <w:rsid w:val="00B700D2"/>
    <w:rsid w:val="00B714FE"/>
    <w:rsid w:val="00B74440"/>
    <w:rsid w:val="00B75F3A"/>
    <w:rsid w:val="00B76CD8"/>
    <w:rsid w:val="00B80214"/>
    <w:rsid w:val="00B821AD"/>
    <w:rsid w:val="00B822EF"/>
    <w:rsid w:val="00B83A53"/>
    <w:rsid w:val="00B8656F"/>
    <w:rsid w:val="00B86AF3"/>
    <w:rsid w:val="00B86E9B"/>
    <w:rsid w:val="00B87D7D"/>
    <w:rsid w:val="00B904B8"/>
    <w:rsid w:val="00B9180D"/>
    <w:rsid w:val="00B9234C"/>
    <w:rsid w:val="00B93285"/>
    <w:rsid w:val="00B94F81"/>
    <w:rsid w:val="00B95B54"/>
    <w:rsid w:val="00B9723E"/>
    <w:rsid w:val="00B97E86"/>
    <w:rsid w:val="00BA114C"/>
    <w:rsid w:val="00BA3D60"/>
    <w:rsid w:val="00BA446B"/>
    <w:rsid w:val="00BA6A87"/>
    <w:rsid w:val="00BA6D3F"/>
    <w:rsid w:val="00BA736C"/>
    <w:rsid w:val="00BA7BE3"/>
    <w:rsid w:val="00BB0AEB"/>
    <w:rsid w:val="00BB2A05"/>
    <w:rsid w:val="00BB3723"/>
    <w:rsid w:val="00BB38CF"/>
    <w:rsid w:val="00BB4BD6"/>
    <w:rsid w:val="00BB50A3"/>
    <w:rsid w:val="00BB614C"/>
    <w:rsid w:val="00BB7276"/>
    <w:rsid w:val="00BB7BB2"/>
    <w:rsid w:val="00BB7D07"/>
    <w:rsid w:val="00BC2C93"/>
    <w:rsid w:val="00BC374A"/>
    <w:rsid w:val="00BC4B38"/>
    <w:rsid w:val="00BC4C49"/>
    <w:rsid w:val="00BC5496"/>
    <w:rsid w:val="00BC59E5"/>
    <w:rsid w:val="00BD199B"/>
    <w:rsid w:val="00BD2030"/>
    <w:rsid w:val="00BD279A"/>
    <w:rsid w:val="00BD35E7"/>
    <w:rsid w:val="00BD3BAE"/>
    <w:rsid w:val="00BD6DA2"/>
    <w:rsid w:val="00BD6E98"/>
    <w:rsid w:val="00BD7A4C"/>
    <w:rsid w:val="00BE0F3C"/>
    <w:rsid w:val="00BE3827"/>
    <w:rsid w:val="00BE392A"/>
    <w:rsid w:val="00BE46DC"/>
    <w:rsid w:val="00BE484A"/>
    <w:rsid w:val="00BE48E6"/>
    <w:rsid w:val="00BE5AA2"/>
    <w:rsid w:val="00BE5B9D"/>
    <w:rsid w:val="00BF00EA"/>
    <w:rsid w:val="00BF207E"/>
    <w:rsid w:val="00BF40E2"/>
    <w:rsid w:val="00BF6B28"/>
    <w:rsid w:val="00C00C1C"/>
    <w:rsid w:val="00C02175"/>
    <w:rsid w:val="00C023EC"/>
    <w:rsid w:val="00C031C9"/>
    <w:rsid w:val="00C050E5"/>
    <w:rsid w:val="00C06335"/>
    <w:rsid w:val="00C07852"/>
    <w:rsid w:val="00C1018B"/>
    <w:rsid w:val="00C1058F"/>
    <w:rsid w:val="00C11298"/>
    <w:rsid w:val="00C1178C"/>
    <w:rsid w:val="00C12BF1"/>
    <w:rsid w:val="00C12FAA"/>
    <w:rsid w:val="00C14575"/>
    <w:rsid w:val="00C1524E"/>
    <w:rsid w:val="00C15B01"/>
    <w:rsid w:val="00C16627"/>
    <w:rsid w:val="00C16BC7"/>
    <w:rsid w:val="00C177D9"/>
    <w:rsid w:val="00C20246"/>
    <w:rsid w:val="00C20ACB"/>
    <w:rsid w:val="00C20EA3"/>
    <w:rsid w:val="00C22351"/>
    <w:rsid w:val="00C24341"/>
    <w:rsid w:val="00C2460E"/>
    <w:rsid w:val="00C24C51"/>
    <w:rsid w:val="00C2543A"/>
    <w:rsid w:val="00C263FB"/>
    <w:rsid w:val="00C2653C"/>
    <w:rsid w:val="00C26653"/>
    <w:rsid w:val="00C26CA9"/>
    <w:rsid w:val="00C27E91"/>
    <w:rsid w:val="00C30058"/>
    <w:rsid w:val="00C313AD"/>
    <w:rsid w:val="00C31F58"/>
    <w:rsid w:val="00C32538"/>
    <w:rsid w:val="00C32DD8"/>
    <w:rsid w:val="00C32F13"/>
    <w:rsid w:val="00C34A51"/>
    <w:rsid w:val="00C359D6"/>
    <w:rsid w:val="00C3616A"/>
    <w:rsid w:val="00C36225"/>
    <w:rsid w:val="00C3785D"/>
    <w:rsid w:val="00C40011"/>
    <w:rsid w:val="00C42198"/>
    <w:rsid w:val="00C44D09"/>
    <w:rsid w:val="00C472B2"/>
    <w:rsid w:val="00C51518"/>
    <w:rsid w:val="00C525B2"/>
    <w:rsid w:val="00C52A9F"/>
    <w:rsid w:val="00C52B3C"/>
    <w:rsid w:val="00C530A2"/>
    <w:rsid w:val="00C53951"/>
    <w:rsid w:val="00C542B2"/>
    <w:rsid w:val="00C549A4"/>
    <w:rsid w:val="00C555C0"/>
    <w:rsid w:val="00C55EBD"/>
    <w:rsid w:val="00C56A2D"/>
    <w:rsid w:val="00C60A26"/>
    <w:rsid w:val="00C61AD0"/>
    <w:rsid w:val="00C61B97"/>
    <w:rsid w:val="00C61DD5"/>
    <w:rsid w:val="00C62FC4"/>
    <w:rsid w:val="00C63353"/>
    <w:rsid w:val="00C63E8D"/>
    <w:rsid w:val="00C641F5"/>
    <w:rsid w:val="00C6513A"/>
    <w:rsid w:val="00C65466"/>
    <w:rsid w:val="00C662BF"/>
    <w:rsid w:val="00C663E5"/>
    <w:rsid w:val="00C67B3B"/>
    <w:rsid w:val="00C7018F"/>
    <w:rsid w:val="00C708AD"/>
    <w:rsid w:val="00C715DC"/>
    <w:rsid w:val="00C7268B"/>
    <w:rsid w:val="00C72E2B"/>
    <w:rsid w:val="00C76165"/>
    <w:rsid w:val="00C76C10"/>
    <w:rsid w:val="00C8130C"/>
    <w:rsid w:val="00C82755"/>
    <w:rsid w:val="00C846A8"/>
    <w:rsid w:val="00C84BE6"/>
    <w:rsid w:val="00C854B9"/>
    <w:rsid w:val="00C85B1D"/>
    <w:rsid w:val="00C87095"/>
    <w:rsid w:val="00C87D12"/>
    <w:rsid w:val="00C919C9"/>
    <w:rsid w:val="00C92EDA"/>
    <w:rsid w:val="00C95220"/>
    <w:rsid w:val="00C953FD"/>
    <w:rsid w:val="00C96B58"/>
    <w:rsid w:val="00C97B63"/>
    <w:rsid w:val="00C97E0A"/>
    <w:rsid w:val="00CA08AB"/>
    <w:rsid w:val="00CA2661"/>
    <w:rsid w:val="00CA43BD"/>
    <w:rsid w:val="00CA4DAE"/>
    <w:rsid w:val="00CA5BBB"/>
    <w:rsid w:val="00CA779F"/>
    <w:rsid w:val="00CB0DE3"/>
    <w:rsid w:val="00CB1B0C"/>
    <w:rsid w:val="00CB2BCF"/>
    <w:rsid w:val="00CB3845"/>
    <w:rsid w:val="00CB4B09"/>
    <w:rsid w:val="00CB4BDF"/>
    <w:rsid w:val="00CB5257"/>
    <w:rsid w:val="00CB6AA2"/>
    <w:rsid w:val="00CB6BF1"/>
    <w:rsid w:val="00CB6EC0"/>
    <w:rsid w:val="00CB74FD"/>
    <w:rsid w:val="00CB7D39"/>
    <w:rsid w:val="00CC037A"/>
    <w:rsid w:val="00CC13B1"/>
    <w:rsid w:val="00CC1964"/>
    <w:rsid w:val="00CC3548"/>
    <w:rsid w:val="00CC4B98"/>
    <w:rsid w:val="00CC4C16"/>
    <w:rsid w:val="00CC5A7F"/>
    <w:rsid w:val="00CC6328"/>
    <w:rsid w:val="00CC7B68"/>
    <w:rsid w:val="00CD0576"/>
    <w:rsid w:val="00CD2349"/>
    <w:rsid w:val="00CD63FF"/>
    <w:rsid w:val="00CD76DD"/>
    <w:rsid w:val="00CD7B33"/>
    <w:rsid w:val="00CE0B71"/>
    <w:rsid w:val="00CE1033"/>
    <w:rsid w:val="00CE323C"/>
    <w:rsid w:val="00CE35CC"/>
    <w:rsid w:val="00CE380C"/>
    <w:rsid w:val="00CE454E"/>
    <w:rsid w:val="00CE4BA7"/>
    <w:rsid w:val="00CE550E"/>
    <w:rsid w:val="00CE6958"/>
    <w:rsid w:val="00CE6AA5"/>
    <w:rsid w:val="00CE71EB"/>
    <w:rsid w:val="00CF0F09"/>
    <w:rsid w:val="00CF2277"/>
    <w:rsid w:val="00CF2384"/>
    <w:rsid w:val="00CF4759"/>
    <w:rsid w:val="00CF4B08"/>
    <w:rsid w:val="00CF66A5"/>
    <w:rsid w:val="00D01AF0"/>
    <w:rsid w:val="00D0201D"/>
    <w:rsid w:val="00D0242B"/>
    <w:rsid w:val="00D03934"/>
    <w:rsid w:val="00D03EDA"/>
    <w:rsid w:val="00D048F5"/>
    <w:rsid w:val="00D04ABA"/>
    <w:rsid w:val="00D05896"/>
    <w:rsid w:val="00D0619F"/>
    <w:rsid w:val="00D06DCC"/>
    <w:rsid w:val="00D0749D"/>
    <w:rsid w:val="00D07BE7"/>
    <w:rsid w:val="00D10229"/>
    <w:rsid w:val="00D1202F"/>
    <w:rsid w:val="00D12A5A"/>
    <w:rsid w:val="00D13348"/>
    <w:rsid w:val="00D14339"/>
    <w:rsid w:val="00D15880"/>
    <w:rsid w:val="00D205BF"/>
    <w:rsid w:val="00D21872"/>
    <w:rsid w:val="00D23647"/>
    <w:rsid w:val="00D23C80"/>
    <w:rsid w:val="00D23FA7"/>
    <w:rsid w:val="00D245F3"/>
    <w:rsid w:val="00D26A60"/>
    <w:rsid w:val="00D27173"/>
    <w:rsid w:val="00D27B17"/>
    <w:rsid w:val="00D27C56"/>
    <w:rsid w:val="00D30571"/>
    <w:rsid w:val="00D30B7E"/>
    <w:rsid w:val="00D32CDE"/>
    <w:rsid w:val="00D33060"/>
    <w:rsid w:val="00D3342C"/>
    <w:rsid w:val="00D33C07"/>
    <w:rsid w:val="00D34237"/>
    <w:rsid w:val="00D3499F"/>
    <w:rsid w:val="00D35781"/>
    <w:rsid w:val="00D35FDF"/>
    <w:rsid w:val="00D36651"/>
    <w:rsid w:val="00D36719"/>
    <w:rsid w:val="00D36AC6"/>
    <w:rsid w:val="00D374B6"/>
    <w:rsid w:val="00D37863"/>
    <w:rsid w:val="00D37CF8"/>
    <w:rsid w:val="00D40B32"/>
    <w:rsid w:val="00D4351C"/>
    <w:rsid w:val="00D43998"/>
    <w:rsid w:val="00D43E7B"/>
    <w:rsid w:val="00D443BB"/>
    <w:rsid w:val="00D4440D"/>
    <w:rsid w:val="00D45B03"/>
    <w:rsid w:val="00D46220"/>
    <w:rsid w:val="00D471C9"/>
    <w:rsid w:val="00D472D3"/>
    <w:rsid w:val="00D47CFA"/>
    <w:rsid w:val="00D500A5"/>
    <w:rsid w:val="00D526A4"/>
    <w:rsid w:val="00D52EFE"/>
    <w:rsid w:val="00D53665"/>
    <w:rsid w:val="00D54364"/>
    <w:rsid w:val="00D54A72"/>
    <w:rsid w:val="00D54F31"/>
    <w:rsid w:val="00D551B4"/>
    <w:rsid w:val="00D572B5"/>
    <w:rsid w:val="00D57EBB"/>
    <w:rsid w:val="00D62808"/>
    <w:rsid w:val="00D6614F"/>
    <w:rsid w:val="00D66514"/>
    <w:rsid w:val="00D670CC"/>
    <w:rsid w:val="00D711AC"/>
    <w:rsid w:val="00D7131B"/>
    <w:rsid w:val="00D72685"/>
    <w:rsid w:val="00D72ECE"/>
    <w:rsid w:val="00D73D36"/>
    <w:rsid w:val="00D7437E"/>
    <w:rsid w:val="00D7659F"/>
    <w:rsid w:val="00D76874"/>
    <w:rsid w:val="00D76976"/>
    <w:rsid w:val="00D76AD7"/>
    <w:rsid w:val="00D816CB"/>
    <w:rsid w:val="00D83DE9"/>
    <w:rsid w:val="00D84577"/>
    <w:rsid w:val="00D86272"/>
    <w:rsid w:val="00D86304"/>
    <w:rsid w:val="00D915A6"/>
    <w:rsid w:val="00D9229A"/>
    <w:rsid w:val="00D92880"/>
    <w:rsid w:val="00D93D4A"/>
    <w:rsid w:val="00DA1785"/>
    <w:rsid w:val="00DA495A"/>
    <w:rsid w:val="00DA4A3A"/>
    <w:rsid w:val="00DA575D"/>
    <w:rsid w:val="00DA65DE"/>
    <w:rsid w:val="00DB06A4"/>
    <w:rsid w:val="00DB0A19"/>
    <w:rsid w:val="00DB1291"/>
    <w:rsid w:val="00DB1DCC"/>
    <w:rsid w:val="00DB2CCD"/>
    <w:rsid w:val="00DB2E89"/>
    <w:rsid w:val="00DB49DA"/>
    <w:rsid w:val="00DB5FEB"/>
    <w:rsid w:val="00DB739A"/>
    <w:rsid w:val="00DC04FD"/>
    <w:rsid w:val="00DC32C9"/>
    <w:rsid w:val="00DC495B"/>
    <w:rsid w:val="00DD2F41"/>
    <w:rsid w:val="00DD3312"/>
    <w:rsid w:val="00DD3ED8"/>
    <w:rsid w:val="00DD4FA5"/>
    <w:rsid w:val="00DD5A5B"/>
    <w:rsid w:val="00DD5EC4"/>
    <w:rsid w:val="00DD6378"/>
    <w:rsid w:val="00DD6CA8"/>
    <w:rsid w:val="00DD727D"/>
    <w:rsid w:val="00DD79EE"/>
    <w:rsid w:val="00DE0B9F"/>
    <w:rsid w:val="00DE0FA9"/>
    <w:rsid w:val="00DE12FD"/>
    <w:rsid w:val="00DE342E"/>
    <w:rsid w:val="00DE4631"/>
    <w:rsid w:val="00DE497B"/>
    <w:rsid w:val="00DE4AF8"/>
    <w:rsid w:val="00DE60C3"/>
    <w:rsid w:val="00DE7815"/>
    <w:rsid w:val="00DF064F"/>
    <w:rsid w:val="00DF0858"/>
    <w:rsid w:val="00DF0CE0"/>
    <w:rsid w:val="00DF226A"/>
    <w:rsid w:val="00DF2617"/>
    <w:rsid w:val="00DF3EA0"/>
    <w:rsid w:val="00DF575D"/>
    <w:rsid w:val="00DF7C10"/>
    <w:rsid w:val="00E017FC"/>
    <w:rsid w:val="00E01C03"/>
    <w:rsid w:val="00E02847"/>
    <w:rsid w:val="00E03622"/>
    <w:rsid w:val="00E049FD"/>
    <w:rsid w:val="00E05399"/>
    <w:rsid w:val="00E1045F"/>
    <w:rsid w:val="00E1061D"/>
    <w:rsid w:val="00E14CA5"/>
    <w:rsid w:val="00E1569D"/>
    <w:rsid w:val="00E17C13"/>
    <w:rsid w:val="00E24576"/>
    <w:rsid w:val="00E24CEC"/>
    <w:rsid w:val="00E2553A"/>
    <w:rsid w:val="00E268CA"/>
    <w:rsid w:val="00E26E21"/>
    <w:rsid w:val="00E32505"/>
    <w:rsid w:val="00E3275E"/>
    <w:rsid w:val="00E349C5"/>
    <w:rsid w:val="00E35405"/>
    <w:rsid w:val="00E36F6C"/>
    <w:rsid w:val="00E40BF7"/>
    <w:rsid w:val="00E41D2E"/>
    <w:rsid w:val="00E4271B"/>
    <w:rsid w:val="00E42D85"/>
    <w:rsid w:val="00E42EBF"/>
    <w:rsid w:val="00E42F38"/>
    <w:rsid w:val="00E43348"/>
    <w:rsid w:val="00E4424D"/>
    <w:rsid w:val="00E44B29"/>
    <w:rsid w:val="00E44F4A"/>
    <w:rsid w:val="00E472AD"/>
    <w:rsid w:val="00E5027D"/>
    <w:rsid w:val="00E54854"/>
    <w:rsid w:val="00E556EA"/>
    <w:rsid w:val="00E565B5"/>
    <w:rsid w:val="00E56CF3"/>
    <w:rsid w:val="00E57E8E"/>
    <w:rsid w:val="00E62344"/>
    <w:rsid w:val="00E62427"/>
    <w:rsid w:val="00E63778"/>
    <w:rsid w:val="00E64103"/>
    <w:rsid w:val="00E64978"/>
    <w:rsid w:val="00E65425"/>
    <w:rsid w:val="00E70094"/>
    <w:rsid w:val="00E70469"/>
    <w:rsid w:val="00E71199"/>
    <w:rsid w:val="00E72710"/>
    <w:rsid w:val="00E73841"/>
    <w:rsid w:val="00E7465F"/>
    <w:rsid w:val="00E74907"/>
    <w:rsid w:val="00E74B49"/>
    <w:rsid w:val="00E7502E"/>
    <w:rsid w:val="00E757B0"/>
    <w:rsid w:val="00E75A75"/>
    <w:rsid w:val="00E76155"/>
    <w:rsid w:val="00E77947"/>
    <w:rsid w:val="00E811BA"/>
    <w:rsid w:val="00E815F7"/>
    <w:rsid w:val="00E8171F"/>
    <w:rsid w:val="00E8297F"/>
    <w:rsid w:val="00E8474A"/>
    <w:rsid w:val="00E85C1D"/>
    <w:rsid w:val="00E86C7B"/>
    <w:rsid w:val="00E87C9E"/>
    <w:rsid w:val="00E91AE6"/>
    <w:rsid w:val="00E921B5"/>
    <w:rsid w:val="00E92565"/>
    <w:rsid w:val="00E96DA0"/>
    <w:rsid w:val="00E977C8"/>
    <w:rsid w:val="00EA0A73"/>
    <w:rsid w:val="00EA0E5D"/>
    <w:rsid w:val="00EA17B8"/>
    <w:rsid w:val="00EA1E06"/>
    <w:rsid w:val="00EA2E85"/>
    <w:rsid w:val="00EA3D12"/>
    <w:rsid w:val="00EA443C"/>
    <w:rsid w:val="00EA5112"/>
    <w:rsid w:val="00EA58B4"/>
    <w:rsid w:val="00EA68EE"/>
    <w:rsid w:val="00EB0115"/>
    <w:rsid w:val="00EB0B82"/>
    <w:rsid w:val="00EB0F43"/>
    <w:rsid w:val="00EB193F"/>
    <w:rsid w:val="00EB1E22"/>
    <w:rsid w:val="00EB4D28"/>
    <w:rsid w:val="00EB554A"/>
    <w:rsid w:val="00EC1409"/>
    <w:rsid w:val="00EC1E9B"/>
    <w:rsid w:val="00EC22AA"/>
    <w:rsid w:val="00EC3755"/>
    <w:rsid w:val="00EC3A8E"/>
    <w:rsid w:val="00EC424C"/>
    <w:rsid w:val="00EC4566"/>
    <w:rsid w:val="00EC683C"/>
    <w:rsid w:val="00EC7303"/>
    <w:rsid w:val="00ED00DB"/>
    <w:rsid w:val="00ED0988"/>
    <w:rsid w:val="00ED18FE"/>
    <w:rsid w:val="00ED43FB"/>
    <w:rsid w:val="00ED4706"/>
    <w:rsid w:val="00ED4F67"/>
    <w:rsid w:val="00ED55C5"/>
    <w:rsid w:val="00ED5ABC"/>
    <w:rsid w:val="00ED5B8F"/>
    <w:rsid w:val="00ED7779"/>
    <w:rsid w:val="00EE0702"/>
    <w:rsid w:val="00EE105F"/>
    <w:rsid w:val="00EE40F6"/>
    <w:rsid w:val="00EE6564"/>
    <w:rsid w:val="00EE6E54"/>
    <w:rsid w:val="00EE6F56"/>
    <w:rsid w:val="00EF147D"/>
    <w:rsid w:val="00EF597C"/>
    <w:rsid w:val="00EF6B1E"/>
    <w:rsid w:val="00EF6C97"/>
    <w:rsid w:val="00EF7BA8"/>
    <w:rsid w:val="00F01638"/>
    <w:rsid w:val="00F03627"/>
    <w:rsid w:val="00F04853"/>
    <w:rsid w:val="00F0491E"/>
    <w:rsid w:val="00F049FA"/>
    <w:rsid w:val="00F056D3"/>
    <w:rsid w:val="00F06D22"/>
    <w:rsid w:val="00F1138A"/>
    <w:rsid w:val="00F114B1"/>
    <w:rsid w:val="00F11E4A"/>
    <w:rsid w:val="00F124D1"/>
    <w:rsid w:val="00F14AA7"/>
    <w:rsid w:val="00F15B73"/>
    <w:rsid w:val="00F16369"/>
    <w:rsid w:val="00F16AE1"/>
    <w:rsid w:val="00F171F7"/>
    <w:rsid w:val="00F17A97"/>
    <w:rsid w:val="00F21C7E"/>
    <w:rsid w:val="00F2297E"/>
    <w:rsid w:val="00F30702"/>
    <w:rsid w:val="00F30FA0"/>
    <w:rsid w:val="00F31284"/>
    <w:rsid w:val="00F318FA"/>
    <w:rsid w:val="00F32F40"/>
    <w:rsid w:val="00F338D7"/>
    <w:rsid w:val="00F34AFF"/>
    <w:rsid w:val="00F34DF0"/>
    <w:rsid w:val="00F3549B"/>
    <w:rsid w:val="00F35B07"/>
    <w:rsid w:val="00F36796"/>
    <w:rsid w:val="00F36ACC"/>
    <w:rsid w:val="00F37166"/>
    <w:rsid w:val="00F3756D"/>
    <w:rsid w:val="00F424FA"/>
    <w:rsid w:val="00F44418"/>
    <w:rsid w:val="00F45F17"/>
    <w:rsid w:val="00F5137F"/>
    <w:rsid w:val="00F514D0"/>
    <w:rsid w:val="00F517CC"/>
    <w:rsid w:val="00F51AD1"/>
    <w:rsid w:val="00F51EC7"/>
    <w:rsid w:val="00F52264"/>
    <w:rsid w:val="00F538D6"/>
    <w:rsid w:val="00F54FD8"/>
    <w:rsid w:val="00F5582A"/>
    <w:rsid w:val="00F55D57"/>
    <w:rsid w:val="00F565BA"/>
    <w:rsid w:val="00F56B25"/>
    <w:rsid w:val="00F57B9F"/>
    <w:rsid w:val="00F61D99"/>
    <w:rsid w:val="00F62333"/>
    <w:rsid w:val="00F629A5"/>
    <w:rsid w:val="00F62B85"/>
    <w:rsid w:val="00F633B8"/>
    <w:rsid w:val="00F669AE"/>
    <w:rsid w:val="00F70CE8"/>
    <w:rsid w:val="00F71E04"/>
    <w:rsid w:val="00F72CB3"/>
    <w:rsid w:val="00F73FE1"/>
    <w:rsid w:val="00F74054"/>
    <w:rsid w:val="00F77C26"/>
    <w:rsid w:val="00F80337"/>
    <w:rsid w:val="00F804AA"/>
    <w:rsid w:val="00F80A50"/>
    <w:rsid w:val="00F80B3A"/>
    <w:rsid w:val="00F80CEE"/>
    <w:rsid w:val="00F82F21"/>
    <w:rsid w:val="00F830D5"/>
    <w:rsid w:val="00F839A0"/>
    <w:rsid w:val="00F83A3F"/>
    <w:rsid w:val="00F844E5"/>
    <w:rsid w:val="00F86594"/>
    <w:rsid w:val="00F8743C"/>
    <w:rsid w:val="00F87EC0"/>
    <w:rsid w:val="00F917F6"/>
    <w:rsid w:val="00F9395F"/>
    <w:rsid w:val="00F941A2"/>
    <w:rsid w:val="00F9491F"/>
    <w:rsid w:val="00F94BE2"/>
    <w:rsid w:val="00F94DF0"/>
    <w:rsid w:val="00F96517"/>
    <w:rsid w:val="00F97E1D"/>
    <w:rsid w:val="00FA07F1"/>
    <w:rsid w:val="00FA119E"/>
    <w:rsid w:val="00FA30E7"/>
    <w:rsid w:val="00FA45AB"/>
    <w:rsid w:val="00FA601D"/>
    <w:rsid w:val="00FA65C9"/>
    <w:rsid w:val="00FA7727"/>
    <w:rsid w:val="00FA780B"/>
    <w:rsid w:val="00FB03E8"/>
    <w:rsid w:val="00FB09FD"/>
    <w:rsid w:val="00FB1B18"/>
    <w:rsid w:val="00FB2665"/>
    <w:rsid w:val="00FB2B3A"/>
    <w:rsid w:val="00FB2FC6"/>
    <w:rsid w:val="00FB3893"/>
    <w:rsid w:val="00FB5774"/>
    <w:rsid w:val="00FB5DD3"/>
    <w:rsid w:val="00FB6169"/>
    <w:rsid w:val="00FB6C95"/>
    <w:rsid w:val="00FB6DF5"/>
    <w:rsid w:val="00FB7115"/>
    <w:rsid w:val="00FC0E83"/>
    <w:rsid w:val="00FC17CA"/>
    <w:rsid w:val="00FC3024"/>
    <w:rsid w:val="00FD0867"/>
    <w:rsid w:val="00FD0973"/>
    <w:rsid w:val="00FD32D9"/>
    <w:rsid w:val="00FD3C8D"/>
    <w:rsid w:val="00FD6EF8"/>
    <w:rsid w:val="00FD70EA"/>
    <w:rsid w:val="00FD76ED"/>
    <w:rsid w:val="00FE0324"/>
    <w:rsid w:val="00FE0597"/>
    <w:rsid w:val="00FE06B7"/>
    <w:rsid w:val="00FE0E74"/>
    <w:rsid w:val="00FE2B9D"/>
    <w:rsid w:val="00FE2DAE"/>
    <w:rsid w:val="00FE2F93"/>
    <w:rsid w:val="00FE35E2"/>
    <w:rsid w:val="00FE365F"/>
    <w:rsid w:val="00FE3989"/>
    <w:rsid w:val="00FE3DAA"/>
    <w:rsid w:val="00FE44FD"/>
    <w:rsid w:val="00FE5577"/>
    <w:rsid w:val="00FE6B5E"/>
    <w:rsid w:val="00FE70DD"/>
    <w:rsid w:val="00FF0158"/>
    <w:rsid w:val="00FF04D0"/>
    <w:rsid w:val="00FF04ED"/>
    <w:rsid w:val="00FF11B0"/>
    <w:rsid w:val="00FF12DB"/>
    <w:rsid w:val="00FF233F"/>
    <w:rsid w:val="00FF4931"/>
    <w:rsid w:val="00FF4A7C"/>
    <w:rsid w:val="00FF53B5"/>
    <w:rsid w:val="00FF6091"/>
    <w:rsid w:val="00FF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2339"/>
  <w15:docId w15:val="{B915D2B2-48E7-463E-801A-46269150A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3BF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04D3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57C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Wyliczanie,List Paragraph,BulletC,Listaszerű bekezdés1,List Paragraph à moi,Dot pt,F5 List Paragraph,Numbered Para 1,No Spacing1,List Paragraph Char Char Char,Indicator Text,Bullet Points,MAIN CONTENT,IFCL - List Paragraph"/>
    <w:basedOn w:val="Normalny"/>
    <w:link w:val="AkapitzlistZnak"/>
    <w:uiPriority w:val="34"/>
    <w:qFormat/>
    <w:rsid w:val="006521B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674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674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6742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74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742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yl1">
    <w:name w:val="Styl1"/>
    <w:basedOn w:val="Normalny"/>
    <w:link w:val="Styl1Znak"/>
    <w:autoRedefine/>
    <w:qFormat/>
    <w:rsid w:val="00A94805"/>
    <w:pPr>
      <w:spacing w:before="120" w:after="120"/>
      <w:ind w:left="284"/>
      <w:jc w:val="both"/>
    </w:pPr>
    <w:rPr>
      <w:rFonts w:ascii="Fira Sans" w:eastAsiaTheme="minorHAnsi" w:hAnsi="Fira Sans" w:cstheme="minorBidi"/>
      <w:sz w:val="19"/>
      <w:szCs w:val="19"/>
    </w:rPr>
  </w:style>
  <w:style w:type="character" w:customStyle="1" w:styleId="Styl1Znak">
    <w:name w:val="Styl1 Znak"/>
    <w:basedOn w:val="Domylnaczcionkaakapitu"/>
    <w:link w:val="Styl1"/>
    <w:rsid w:val="00A94805"/>
    <w:rPr>
      <w:rFonts w:ascii="Fira Sans" w:hAnsi="Fira Sans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F424FA"/>
    <w:rPr>
      <w:b/>
      <w:bCs/>
    </w:rPr>
  </w:style>
  <w:style w:type="character" w:styleId="Hipercze">
    <w:name w:val="Hyperlink"/>
    <w:basedOn w:val="Domylnaczcionkaakapitu"/>
    <w:uiPriority w:val="99"/>
    <w:unhideWhenUsed/>
    <w:rsid w:val="009348E0"/>
    <w:rPr>
      <w:color w:val="0000FF" w:themeColor="hyperlink"/>
      <w:u w:val="single"/>
    </w:rPr>
  </w:style>
  <w:style w:type="character" w:customStyle="1" w:styleId="markedcontent">
    <w:name w:val="markedcontent"/>
    <w:basedOn w:val="Domylnaczcionkaakapitu"/>
    <w:rsid w:val="009348E0"/>
  </w:style>
  <w:style w:type="character" w:customStyle="1" w:styleId="highlight">
    <w:name w:val="highlight"/>
    <w:basedOn w:val="Domylnaczcionkaakapitu"/>
    <w:rsid w:val="009348E0"/>
  </w:style>
  <w:style w:type="paragraph" w:styleId="Nagwek">
    <w:name w:val="header"/>
    <w:basedOn w:val="Normalny"/>
    <w:link w:val="NagwekZnak"/>
    <w:uiPriority w:val="99"/>
    <w:unhideWhenUsed/>
    <w:rsid w:val="00103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9F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39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9F5"/>
    <w:rPr>
      <w:rFonts w:ascii="Calibri" w:eastAsia="Calibri" w:hAnsi="Calibri" w:cs="Times New Roman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D10229"/>
    <w:pPr>
      <w:spacing w:after="0" w:line="360" w:lineRule="auto"/>
      <w:ind w:left="1020" w:hanging="510"/>
      <w:jc w:val="both"/>
    </w:pPr>
    <w:rPr>
      <w:rFonts w:ascii="Times" w:eastAsiaTheme="minorHAnsi" w:hAnsi="Times" w:cs="Times"/>
      <w:sz w:val="24"/>
      <w:szCs w:val="24"/>
      <w:lang w:eastAsia="pl-PL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D10229"/>
    <w:pPr>
      <w:autoSpaceDE w:val="0"/>
      <w:autoSpaceDN w:val="0"/>
      <w:spacing w:after="0" w:line="360" w:lineRule="auto"/>
      <w:ind w:left="510" w:firstLine="510"/>
      <w:jc w:val="both"/>
    </w:pPr>
    <w:rPr>
      <w:rFonts w:ascii="Times" w:eastAsiaTheme="minorHAnsi" w:hAnsi="Times" w:cs="Times"/>
      <w:sz w:val="24"/>
      <w:szCs w:val="24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840F8B"/>
    <w:pPr>
      <w:spacing w:after="0" w:line="360" w:lineRule="auto"/>
      <w:ind w:left="1893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LITPKTzmpktliter">
    <w:name w:val="Z_LIT/PKT – zm. pkt literą"/>
    <w:basedOn w:val="Normalny"/>
    <w:uiPriority w:val="47"/>
    <w:qFormat/>
    <w:rsid w:val="00C61B97"/>
    <w:pPr>
      <w:spacing w:after="0" w:line="360" w:lineRule="auto"/>
      <w:ind w:left="1497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dane4">
    <w:name w:val="dane4"/>
    <w:basedOn w:val="Normalny"/>
    <w:link w:val="dane4Znak"/>
    <w:qFormat/>
    <w:rsid w:val="00FE0E74"/>
    <w:pPr>
      <w:spacing w:after="0" w:line="276" w:lineRule="auto"/>
    </w:pPr>
    <w:rPr>
      <w:rFonts w:ascii="Lato" w:eastAsiaTheme="minorHAnsi" w:hAnsi="Lato" w:cstheme="minorBidi"/>
      <w:sz w:val="24"/>
    </w:rPr>
  </w:style>
  <w:style w:type="character" w:customStyle="1" w:styleId="dane4Znak">
    <w:name w:val="dane4 Znak"/>
    <w:basedOn w:val="Domylnaczcionkaakapitu"/>
    <w:link w:val="dane4"/>
    <w:rsid w:val="00FE0E74"/>
    <w:rPr>
      <w:rFonts w:ascii="Lato" w:hAnsi="Lato"/>
      <w:sz w:val="24"/>
    </w:rPr>
  </w:style>
  <w:style w:type="paragraph" w:styleId="Bezodstpw">
    <w:name w:val="No Spacing"/>
    <w:basedOn w:val="Normalny"/>
    <w:link w:val="BezodstpwZnak"/>
    <w:uiPriority w:val="99"/>
    <w:qFormat/>
    <w:rsid w:val="0002113F"/>
    <w:pPr>
      <w:spacing w:before="120" w:after="0" w:line="240" w:lineRule="auto"/>
      <w:jc w:val="both"/>
    </w:pPr>
    <w:rPr>
      <w:rFonts w:ascii="Arial" w:eastAsia="Times New Roman" w:hAnsi="Arial"/>
      <w:color w:val="000000"/>
      <w:sz w:val="19"/>
    </w:rPr>
  </w:style>
  <w:style w:type="character" w:customStyle="1" w:styleId="BezodstpwZnak">
    <w:name w:val="Bez odstępów Znak"/>
    <w:link w:val="Bezodstpw"/>
    <w:uiPriority w:val="99"/>
    <w:locked/>
    <w:rsid w:val="0002113F"/>
    <w:rPr>
      <w:rFonts w:ascii="Arial" w:eastAsia="Times New Roman" w:hAnsi="Arial" w:cs="Times New Roman"/>
      <w:color w:val="000000"/>
      <w:sz w:val="19"/>
    </w:rPr>
  </w:style>
  <w:style w:type="paragraph" w:styleId="Poprawka">
    <w:name w:val="Revision"/>
    <w:hidden/>
    <w:uiPriority w:val="99"/>
    <w:semiHidden/>
    <w:rsid w:val="0075729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E454E"/>
    <w:rPr>
      <w:color w:val="605E5C"/>
      <w:shd w:val="clear" w:color="auto" w:fill="E1DFDD"/>
    </w:rPr>
  </w:style>
  <w:style w:type="character" w:customStyle="1" w:styleId="AkapitzlistZnak">
    <w:name w:val="Akapit z listą Znak"/>
    <w:aliases w:val="Wyliczanie Znak,List Paragraph Znak,BulletC Znak,Listaszerű bekezdés1 Znak,List Paragraph à moi Znak,Dot pt Znak,F5 List Paragraph Znak,Numbered Para 1 Znak,No Spacing1 Znak,List Paragraph Char Char Char Znak,Indicator Text Znak"/>
    <w:basedOn w:val="Domylnaczcionkaakapitu"/>
    <w:link w:val="Akapitzlist"/>
    <w:uiPriority w:val="34"/>
    <w:rsid w:val="00504291"/>
    <w:rPr>
      <w:rFonts w:ascii="Calibri" w:eastAsia="Calibri" w:hAnsi="Calibri" w:cs="Times New Roman"/>
    </w:rPr>
  </w:style>
  <w:style w:type="paragraph" w:customStyle="1" w:styleId="ARTartustawynprozporzdzenia">
    <w:name w:val="ART(§) – art. ustawy (§ np. rozporządzenia)"/>
    <w:uiPriority w:val="11"/>
    <w:qFormat/>
    <w:rsid w:val="00386B83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Normalny"/>
    <w:next w:val="Normalny"/>
    <w:uiPriority w:val="16"/>
    <w:qFormat/>
    <w:rsid w:val="000E4284"/>
    <w:pPr>
      <w:spacing w:after="0" w:line="360" w:lineRule="auto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artzmartartykuempunktem0">
    <w:name w:val="zartzmartartykuempunktem"/>
    <w:basedOn w:val="Normalny"/>
    <w:rsid w:val="00B61B16"/>
    <w:pPr>
      <w:spacing w:after="0" w:line="360" w:lineRule="auto"/>
      <w:ind w:left="510" w:firstLine="510"/>
      <w:jc w:val="both"/>
    </w:pPr>
    <w:rPr>
      <w:rFonts w:ascii="Times" w:eastAsiaTheme="minorHAnsi" w:hAnsi="Times" w:cs="Calibri"/>
      <w:sz w:val="24"/>
      <w:szCs w:val="24"/>
      <w:lang w:eastAsia="pl-PL"/>
    </w:rPr>
  </w:style>
  <w:style w:type="paragraph" w:customStyle="1" w:styleId="pktpunkt">
    <w:name w:val="pktpunkt"/>
    <w:basedOn w:val="Normalny"/>
    <w:rsid w:val="00B61B16"/>
    <w:pPr>
      <w:spacing w:after="0" w:line="360" w:lineRule="auto"/>
      <w:ind w:left="510" w:hanging="510"/>
      <w:jc w:val="both"/>
    </w:pPr>
    <w:rPr>
      <w:rFonts w:ascii="Times" w:eastAsiaTheme="minorHAnsi" w:hAnsi="Times" w:cs="Calibri"/>
      <w:sz w:val="24"/>
      <w:szCs w:val="24"/>
      <w:lang w:eastAsia="pl-PL"/>
    </w:rPr>
  </w:style>
  <w:style w:type="paragraph" w:customStyle="1" w:styleId="zpktzmpktartykuempunktem0">
    <w:name w:val="zpktzmpktartykuempunktem"/>
    <w:basedOn w:val="Normalny"/>
    <w:rsid w:val="00B61B16"/>
    <w:pPr>
      <w:spacing w:after="0" w:line="360" w:lineRule="auto"/>
      <w:ind w:left="1020" w:hanging="510"/>
      <w:jc w:val="both"/>
    </w:pPr>
    <w:rPr>
      <w:rFonts w:ascii="Times" w:eastAsiaTheme="minorHAnsi" w:hAnsi="Times" w:cs="Calibri"/>
      <w:sz w:val="24"/>
      <w:szCs w:val="24"/>
      <w:lang w:eastAsia="pl-PL"/>
    </w:rPr>
  </w:style>
  <w:style w:type="paragraph" w:customStyle="1" w:styleId="litlitera">
    <w:name w:val="litlitera"/>
    <w:basedOn w:val="Normalny"/>
    <w:rsid w:val="00B61B16"/>
    <w:pPr>
      <w:spacing w:after="0" w:line="360" w:lineRule="auto"/>
      <w:ind w:left="986" w:hanging="476"/>
      <w:jc w:val="both"/>
    </w:pPr>
    <w:rPr>
      <w:rFonts w:ascii="Times" w:eastAsiaTheme="minorHAnsi" w:hAnsi="Times" w:cs="Calibri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56135"/>
    <w:rPr>
      <w:i/>
      <w:iCs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E69C3"/>
    <w:rPr>
      <w:color w:val="605E5C"/>
      <w:shd w:val="clear" w:color="auto" w:fill="E1DFDD"/>
    </w:rPr>
  </w:style>
  <w:style w:type="paragraph" w:customStyle="1" w:styleId="ZLITwPKTzmlitwpktartykuempunktem">
    <w:name w:val="Z/LIT_w_PKT – zm. lit. w pkt artykułem (punktem)"/>
    <w:basedOn w:val="Normalny"/>
    <w:uiPriority w:val="32"/>
    <w:qFormat/>
    <w:rsid w:val="00F338D7"/>
    <w:pPr>
      <w:spacing w:after="0" w:line="360" w:lineRule="auto"/>
      <w:ind w:left="1497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F338D7"/>
    <w:pPr>
      <w:suppressAutoHyphens/>
      <w:adjustRightInd w:val="0"/>
    </w:pPr>
    <w:rPr>
      <w:rFonts w:eastAsiaTheme="minorEastAsia" w:cs="Arial"/>
      <w:szCs w:val="20"/>
    </w:rPr>
  </w:style>
  <w:style w:type="paragraph" w:customStyle="1" w:styleId="PKTpunkt0">
    <w:name w:val="PKT – punkt"/>
    <w:uiPriority w:val="13"/>
    <w:qFormat/>
    <w:rsid w:val="001956A4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1956A4"/>
    <w:rPr>
      <w:b/>
    </w:rPr>
  </w:style>
  <w:style w:type="paragraph" w:customStyle="1" w:styleId="LITlitera0">
    <w:name w:val="LIT – litera"/>
    <w:basedOn w:val="PKTpunkt0"/>
    <w:uiPriority w:val="14"/>
    <w:qFormat/>
    <w:rsid w:val="00FB6DF5"/>
    <w:pPr>
      <w:ind w:left="986" w:hanging="476"/>
    </w:pPr>
  </w:style>
  <w:style w:type="paragraph" w:customStyle="1" w:styleId="TIRtiret">
    <w:name w:val="TIR – tiret"/>
    <w:basedOn w:val="LITlitera0"/>
    <w:uiPriority w:val="15"/>
    <w:qFormat/>
    <w:rsid w:val="00FB6DF5"/>
    <w:pPr>
      <w:ind w:left="1384" w:hanging="397"/>
    </w:pPr>
  </w:style>
  <w:style w:type="paragraph" w:customStyle="1" w:styleId="ZTIRCZWSPPKTzmczciwsppkttiret">
    <w:name w:val="Z_TIR/CZ_WSP_PKT – zm. części wsp. pkt tiret"/>
    <w:basedOn w:val="Normalny"/>
    <w:next w:val="TIRtiret"/>
    <w:uiPriority w:val="58"/>
    <w:qFormat/>
    <w:rsid w:val="00FB6DF5"/>
    <w:pPr>
      <w:spacing w:after="0" w:line="360" w:lineRule="auto"/>
      <w:ind w:left="1383"/>
      <w:jc w:val="both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FB6DF5"/>
  </w:style>
  <w:style w:type="character" w:styleId="UyteHipercze">
    <w:name w:val="FollowedHyperlink"/>
    <w:basedOn w:val="Domylnaczcionkaakapitu"/>
    <w:uiPriority w:val="99"/>
    <w:semiHidden/>
    <w:unhideWhenUsed/>
    <w:rsid w:val="00ED0988"/>
    <w:rPr>
      <w:color w:val="800080" w:themeColor="followedHyperlink"/>
      <w:u w:val="single"/>
    </w:rPr>
  </w:style>
  <w:style w:type="character" w:styleId="Odwoanieprzypisudolnego">
    <w:name w:val="footnote reference"/>
    <w:uiPriority w:val="99"/>
    <w:semiHidden/>
    <w:rsid w:val="0063407B"/>
    <w:rPr>
      <w:rFonts w:cs="Times New Roman"/>
      <w:vertAlign w:val="superscript"/>
    </w:rPr>
  </w:style>
  <w:style w:type="paragraph" w:customStyle="1" w:styleId="ZLITUSTzmustliter">
    <w:name w:val="Z_LIT/UST(§) – zm. ust. (§) literą"/>
    <w:basedOn w:val="Normalny"/>
    <w:uiPriority w:val="46"/>
    <w:qFormat/>
    <w:rsid w:val="0063407B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ODNONIKtreodnonika">
    <w:name w:val="ODNOŚNIK – treść odnośnika"/>
    <w:uiPriority w:val="19"/>
    <w:qFormat/>
    <w:rsid w:val="0063407B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63407B"/>
    <w:rPr>
      <w:b w:val="0"/>
      <w:i w:val="0"/>
      <w:vanish w:val="0"/>
      <w:spacing w:val="0"/>
      <w:vertAlign w:val="superscript"/>
    </w:rPr>
  </w:style>
  <w:style w:type="paragraph" w:customStyle="1" w:styleId="ZLITzmlitartykuempunktem">
    <w:name w:val="Z/LIT – zm. lit. artykułem (punktem)"/>
    <w:basedOn w:val="Normalny"/>
    <w:uiPriority w:val="32"/>
    <w:qFormat/>
    <w:rsid w:val="003E46A7"/>
    <w:pPr>
      <w:spacing w:after="0" w:line="360" w:lineRule="auto"/>
      <w:ind w:left="986" w:hanging="476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6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  <Odbiorcy2 xmlns="1E9983FF-DC4B-4F4E-A072-0441E2B88E6D" xsi:nil="true"/>
    <Osoba xmlns="1E9983FF-DC4B-4F4E-A072-0441E2B88E6D">STAT\ZARDECKIA</Osoba>
    <NazwaPliku xmlns="1E9983FF-DC4B-4F4E-A072-0441E2B88E6D">Zestawienie uwag_11.09.2024.docx.docx</NazwaPliku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4D494-F840-4E76-A146-1DB75A6CB1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9983FF-DC4B-4F4E-A072-0441E2B88E6D"/>
  </ds:schemaRefs>
</ds:datastoreItem>
</file>

<file path=customXml/itemProps2.xml><?xml version="1.0" encoding="utf-8"?>
<ds:datastoreItem xmlns:ds="http://schemas.openxmlformats.org/officeDocument/2006/customXml" ds:itemID="{807BD14B-670E-4AE5-B61F-A2F4BA6D1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9983FF-DC4B-4F4E-A072-0441E2B8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266C3B-DEE9-4320-94FD-1EB4DB718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54</Pages>
  <Words>18975</Words>
  <Characters>113856</Characters>
  <Application>Microsoft Office Word</Application>
  <DocSecurity>0</DocSecurity>
  <Lines>948</Lines>
  <Paragraphs>265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kacperczyke</dc:creator>
  <cp:keywords/>
  <dc:description/>
  <cp:lastModifiedBy>Żardecki Adam</cp:lastModifiedBy>
  <cp:revision>4</cp:revision>
  <cp:lastPrinted>2020-02-18T09:22:00Z</cp:lastPrinted>
  <dcterms:created xsi:type="dcterms:W3CDTF">2024-11-05T09:54:00Z</dcterms:created>
  <dcterms:modified xsi:type="dcterms:W3CDTF">2024-11-05T11:02:00Z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GUS-GP03.0200.9.2019.AZ.24</vt:lpwstr>
  </property>
  <property fmtid="{D5CDD505-2E9C-101B-9397-08002B2CF9AE}" pid="3" name="UNPPisma">
    <vt:lpwstr>2020-34937</vt:lpwstr>
  </property>
  <property fmtid="{D5CDD505-2E9C-101B-9397-08002B2CF9AE}" pid="4" name="ZnakSprawy">
    <vt:lpwstr>GUS-GP03.0200.9.2019.AZ</vt:lpwstr>
  </property>
  <property fmtid="{D5CDD505-2E9C-101B-9397-08002B2CF9AE}" pid="5" name="ZnakSprawyPrzedPrzeniesieniem">
    <vt:lpwstr/>
  </property>
  <property fmtid="{D5CDD505-2E9C-101B-9397-08002B2CF9AE}" pid="6" name="Autor">
    <vt:lpwstr>Żardecki Adam</vt:lpwstr>
  </property>
  <property fmtid="{D5CDD505-2E9C-101B-9397-08002B2CF9AE}" pid="7" name="AutorInicjaly">
    <vt:lpwstr>AZ</vt:lpwstr>
  </property>
  <property fmtid="{D5CDD505-2E9C-101B-9397-08002B2CF9AE}" pid="8" name="AutorNrTelefonu">
    <vt:lpwstr>22 449 3060</vt:lpwstr>
  </property>
  <property fmtid="{D5CDD505-2E9C-101B-9397-08002B2CF9AE}" pid="9" name="Stanowisko">
    <vt:lpwstr>główny specjalista ds. legislacji</vt:lpwstr>
  </property>
  <property fmtid="{D5CDD505-2E9C-101B-9397-08002B2CF9AE}" pid="10" name="OpisPisma">
    <vt:lpwstr>Skierowanie projektu do rozpatrzenia przez Stały Komitet Rady Ministrów</vt:lpwstr>
  </property>
  <property fmtid="{D5CDD505-2E9C-101B-9397-08002B2CF9AE}" pid="11" name="Komorka">
    <vt:lpwstr>Prezes GUS</vt:lpwstr>
  </property>
  <property fmtid="{D5CDD505-2E9C-101B-9397-08002B2CF9AE}" pid="12" name="KodKomorki">
    <vt:lpwstr>Prezes GUS</vt:lpwstr>
  </property>
  <property fmtid="{D5CDD505-2E9C-101B-9397-08002B2CF9AE}" pid="13" name="AktualnaData">
    <vt:lpwstr>2020-03-09</vt:lpwstr>
  </property>
  <property fmtid="{D5CDD505-2E9C-101B-9397-08002B2CF9AE}" pid="14" name="Wydzial">
    <vt:lpwstr>Wydział Legislacji</vt:lpwstr>
  </property>
  <property fmtid="{D5CDD505-2E9C-101B-9397-08002B2CF9AE}" pid="15" name="KodWydzialu">
    <vt:lpwstr>GP-03</vt:lpwstr>
  </property>
  <property fmtid="{D5CDD505-2E9C-101B-9397-08002B2CF9AE}" pid="16" name="ZaakceptowanePrzez">
    <vt:lpwstr>n/d</vt:lpwstr>
  </property>
  <property fmtid="{D5CDD505-2E9C-101B-9397-08002B2CF9AE}" pid="17" name="PrzekazanieDo">
    <vt:lpwstr/>
  </property>
  <property fmtid="{D5CDD505-2E9C-101B-9397-08002B2CF9AE}" pid="18" name="PrzekazanieDoStanowisko">
    <vt:lpwstr/>
  </property>
  <property fmtid="{D5CDD505-2E9C-101B-9397-08002B2CF9AE}" pid="19" name="PrzekazanieDoKomorkaPracownika">
    <vt:lpwstr/>
  </property>
  <property fmtid="{D5CDD505-2E9C-101B-9397-08002B2CF9AE}" pid="20" name="PrzekazanieWgRozdzielnika">
    <vt:lpwstr/>
  </property>
  <property fmtid="{D5CDD505-2E9C-101B-9397-08002B2CF9AE}" pid="21" name="adresImie">
    <vt:lpwstr/>
  </property>
  <property fmtid="{D5CDD505-2E9C-101B-9397-08002B2CF9AE}" pid="22" name="adresNazwisko">
    <vt:lpwstr/>
  </property>
  <property fmtid="{D5CDD505-2E9C-101B-9397-08002B2CF9AE}" pid="23" name="adresNazwa">
    <vt:lpwstr>KANCELARIA PREZESA RADY MINISTRÓW</vt:lpwstr>
  </property>
  <property fmtid="{D5CDD505-2E9C-101B-9397-08002B2CF9AE}" pid="24" name="adresOddzial">
    <vt:lpwstr>STAŁY KOMITET RADY MINISTRÓW</vt:lpwstr>
  </property>
  <property fmtid="{D5CDD505-2E9C-101B-9397-08002B2CF9AE}" pid="25" name="adresUlica">
    <vt:lpwstr>AL. UJAZDOWSKIE</vt:lpwstr>
  </property>
  <property fmtid="{D5CDD505-2E9C-101B-9397-08002B2CF9AE}" pid="26" name="adresTypUlicy">
    <vt:lpwstr/>
  </property>
  <property fmtid="{D5CDD505-2E9C-101B-9397-08002B2CF9AE}" pid="27" name="adresNrDomu">
    <vt:lpwstr>1/3</vt:lpwstr>
  </property>
  <property fmtid="{D5CDD505-2E9C-101B-9397-08002B2CF9AE}" pid="28" name="adresNrLokalu">
    <vt:lpwstr/>
  </property>
  <property fmtid="{D5CDD505-2E9C-101B-9397-08002B2CF9AE}" pid="29" name="adresKodPocztowy">
    <vt:lpwstr>00-583</vt:lpwstr>
  </property>
  <property fmtid="{D5CDD505-2E9C-101B-9397-08002B2CF9AE}" pid="30" name="adresMiejscowosc">
    <vt:lpwstr>WARSZAWA (ŚRÓDMIEŚCIE)</vt:lpwstr>
  </property>
  <property fmtid="{D5CDD505-2E9C-101B-9397-08002B2CF9AE}" pid="31" name="adresPoczta">
    <vt:lpwstr/>
  </property>
  <property fmtid="{D5CDD505-2E9C-101B-9397-08002B2CF9AE}" pid="32" name="adresEMail">
    <vt:lpwstr/>
  </property>
  <property fmtid="{D5CDD505-2E9C-101B-9397-08002B2CF9AE}" pid="33" name="DataNaPismie">
    <vt:lpwstr>2020-02-19</vt:lpwstr>
  </property>
  <property fmtid="{D5CDD505-2E9C-101B-9397-08002B2CF9AE}" pid="34" name="KodKreskowy">
    <vt:lpwstr/>
  </property>
  <property fmtid="{D5CDD505-2E9C-101B-9397-08002B2CF9AE}" pid="35" name="TrescPisma">
    <vt:lpwstr/>
  </property>
  <property fmtid="{D5CDD505-2E9C-101B-9397-08002B2CF9AE}" pid="36" name="ContentTypeId">
    <vt:lpwstr>0x0101005F253E89B8992844AAE9836E71E202A8</vt:lpwstr>
  </property>
</Properties>
</file>